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3E" w:rsidRPr="00341D37" w:rsidRDefault="006E7A6D" w:rsidP="0080053E">
      <w:pPr>
        <w:spacing w:after="0" w:line="240" w:lineRule="auto"/>
        <w:jc w:val="center"/>
        <w:rPr>
          <w:rFonts w:ascii="Book Antiqua" w:hAnsi="Book Antiqua"/>
          <w:b/>
          <w:sz w:val="36"/>
          <w:u w:val="single"/>
        </w:rPr>
      </w:pPr>
      <w:bookmarkStart w:id="0" w:name="_GoBack"/>
      <w:bookmarkEnd w:id="0"/>
      <w:r w:rsidRPr="00341D37">
        <w:rPr>
          <w:rFonts w:ascii="Book Antiqua" w:hAnsi="Book Antiqua"/>
          <w:b/>
          <w:sz w:val="36"/>
          <w:u w:val="single"/>
        </w:rPr>
        <w:t>Expression of Interest</w:t>
      </w:r>
    </w:p>
    <w:p w:rsidR="006E7A6D" w:rsidRPr="00341D37" w:rsidRDefault="006E7A6D" w:rsidP="0080053E">
      <w:pPr>
        <w:spacing w:after="0" w:line="240" w:lineRule="auto"/>
        <w:jc w:val="center"/>
        <w:rPr>
          <w:rFonts w:ascii="Book Antiqua" w:hAnsi="Book Antiqua"/>
          <w:b/>
          <w:sz w:val="32"/>
        </w:rPr>
      </w:pPr>
    </w:p>
    <w:p w:rsidR="0080053E" w:rsidRPr="00341D37" w:rsidRDefault="000B5089" w:rsidP="0080053E">
      <w:pPr>
        <w:spacing w:after="0" w:line="240" w:lineRule="auto"/>
        <w:jc w:val="center"/>
        <w:rPr>
          <w:rFonts w:ascii="Book Antiqua" w:hAnsi="Book Antiqua"/>
          <w:b/>
          <w:sz w:val="32"/>
        </w:rPr>
      </w:pPr>
      <w:proofErr w:type="spellStart"/>
      <w:r>
        <w:rPr>
          <w:rFonts w:ascii="Book Antiqua" w:hAnsi="Book Antiqua"/>
          <w:b/>
          <w:sz w:val="32"/>
        </w:rPr>
        <w:t>Jadoun</w:t>
      </w:r>
      <w:proofErr w:type="spellEnd"/>
      <w:r>
        <w:rPr>
          <w:rFonts w:ascii="Book Antiqua" w:hAnsi="Book Antiqua"/>
          <w:b/>
          <w:sz w:val="32"/>
        </w:rPr>
        <w:t xml:space="preserve"> International Private</w:t>
      </w:r>
      <w:r w:rsidR="006E7A6D" w:rsidRPr="00341D37">
        <w:rPr>
          <w:rFonts w:ascii="Book Antiqua" w:hAnsi="Book Antiqua"/>
          <w:b/>
          <w:sz w:val="32"/>
        </w:rPr>
        <w:t xml:space="preserve"> Limited</w:t>
      </w:r>
    </w:p>
    <w:p w:rsidR="0080053E" w:rsidRPr="00341D37" w:rsidRDefault="0080053E" w:rsidP="0080053E">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 xml:space="preserve"> (Company undergoing Corporate Insolvency Resolution Process)</w:t>
      </w:r>
    </w:p>
    <w:p w:rsidR="0080053E" w:rsidRPr="00341D37" w:rsidRDefault="00C37C81" w:rsidP="0080053E">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Last date for submission of EOI</w:t>
      </w:r>
      <w:r w:rsidR="0080053E" w:rsidRPr="00341D37">
        <w:rPr>
          <w:rFonts w:ascii="Book Antiqua" w:eastAsia="Times New Roman" w:hAnsi="Book Antiqua" w:cs="Calibri"/>
          <w:b/>
          <w:bCs/>
          <w:color w:val="000000"/>
        </w:rPr>
        <w:t xml:space="preserve">: </w:t>
      </w:r>
      <w:r w:rsidR="000B5089">
        <w:rPr>
          <w:rFonts w:ascii="Book Antiqua" w:eastAsia="Times New Roman" w:hAnsi="Book Antiqua" w:cs="Calibri"/>
          <w:b/>
          <w:bCs/>
          <w:color w:val="000000"/>
        </w:rPr>
        <w:t>30</w:t>
      </w:r>
      <w:r w:rsidR="000B5089" w:rsidRPr="000B5089">
        <w:rPr>
          <w:rFonts w:ascii="Book Antiqua" w:eastAsia="Times New Roman" w:hAnsi="Book Antiqua" w:cs="Calibri"/>
          <w:b/>
          <w:bCs/>
          <w:color w:val="000000"/>
          <w:vertAlign w:val="superscript"/>
        </w:rPr>
        <w:t>th</w:t>
      </w:r>
      <w:r w:rsidR="000B5089">
        <w:rPr>
          <w:rFonts w:ascii="Book Antiqua" w:eastAsia="Times New Roman" w:hAnsi="Book Antiqua" w:cs="Calibri"/>
          <w:b/>
          <w:bCs/>
          <w:color w:val="000000"/>
        </w:rPr>
        <w:t xml:space="preserve"> August</w:t>
      </w:r>
      <w:r w:rsidR="0080053E" w:rsidRPr="00341D37">
        <w:rPr>
          <w:rFonts w:ascii="Book Antiqua" w:eastAsia="Times New Roman" w:hAnsi="Book Antiqua" w:cs="Calibri"/>
          <w:b/>
          <w:bCs/>
          <w:color w:val="000000"/>
        </w:rPr>
        <w:t xml:space="preserve"> 2019</w:t>
      </w:r>
    </w:p>
    <w:p w:rsidR="0080053E" w:rsidRPr="00341D37" w:rsidRDefault="0080053E" w:rsidP="0080053E">
      <w:pPr>
        <w:jc w:val="center"/>
        <w:rPr>
          <w:rFonts w:ascii="Book Antiqua" w:hAnsi="Book Antiqua"/>
          <w:b/>
        </w:rPr>
      </w:pPr>
    </w:p>
    <w:tbl>
      <w:tblPr>
        <w:tblW w:w="5000" w:type="pct"/>
        <w:tblLayout w:type="fixed"/>
        <w:tblLook w:val="04A0"/>
      </w:tblPr>
      <w:tblGrid>
        <w:gridCol w:w="685"/>
        <w:gridCol w:w="4189"/>
        <w:gridCol w:w="2965"/>
        <w:gridCol w:w="1737"/>
      </w:tblGrid>
      <w:tr w:rsidR="0080053E" w:rsidRPr="00341D37" w:rsidTr="00AB1CFC">
        <w:trPr>
          <w:trHeight w:val="510"/>
        </w:trPr>
        <w:tc>
          <w:tcPr>
            <w:tcW w:w="358" w:type="pct"/>
            <w:tcBorders>
              <w:top w:val="single" w:sz="8" w:space="0" w:color="auto"/>
              <w:left w:val="single" w:sz="8" w:space="0" w:color="auto"/>
              <w:bottom w:val="single" w:sz="4" w:space="0" w:color="auto"/>
              <w:right w:val="single" w:sz="4" w:space="0" w:color="auto"/>
            </w:tcBorders>
            <w:shd w:val="clear" w:color="000000" w:fill="AEAAAA"/>
            <w:noWrap/>
            <w:vAlign w:val="center"/>
            <w:hideMark/>
          </w:tcPr>
          <w:p w:rsidR="0080053E" w:rsidRPr="00341D37" w:rsidRDefault="0080053E" w:rsidP="00AB1CFC">
            <w:pPr>
              <w:spacing w:after="0" w:line="240" w:lineRule="auto"/>
              <w:jc w:val="center"/>
              <w:rPr>
                <w:rFonts w:ascii="Book Antiqua" w:eastAsia="Times New Roman" w:hAnsi="Book Antiqua" w:cs="Calibri"/>
                <w:b/>
                <w:bCs/>
                <w:color w:val="000000"/>
              </w:rPr>
            </w:pPr>
            <w:proofErr w:type="spellStart"/>
            <w:r w:rsidRPr="00341D37">
              <w:rPr>
                <w:rFonts w:ascii="Book Antiqua" w:eastAsia="Times New Roman" w:hAnsi="Book Antiqua" w:cs="Calibri"/>
                <w:b/>
                <w:bCs/>
                <w:color w:val="000000"/>
                <w:sz w:val="20"/>
              </w:rPr>
              <w:t>S.No</w:t>
            </w:r>
            <w:proofErr w:type="spellEnd"/>
          </w:p>
        </w:tc>
        <w:tc>
          <w:tcPr>
            <w:tcW w:w="2187" w:type="pct"/>
            <w:tcBorders>
              <w:top w:val="single" w:sz="8" w:space="0" w:color="auto"/>
              <w:left w:val="nil"/>
              <w:bottom w:val="single" w:sz="4" w:space="0" w:color="auto"/>
              <w:right w:val="single" w:sz="4" w:space="0" w:color="auto"/>
            </w:tcBorders>
            <w:shd w:val="clear" w:color="000000" w:fill="AEAAAA"/>
            <w:noWrap/>
            <w:vAlign w:val="center"/>
            <w:hideMark/>
          </w:tcPr>
          <w:p w:rsidR="0080053E" w:rsidRPr="00341D37" w:rsidRDefault="0080053E" w:rsidP="00AB1CFC">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Particulars of Information required</w:t>
            </w:r>
          </w:p>
        </w:tc>
        <w:tc>
          <w:tcPr>
            <w:tcW w:w="1548" w:type="pct"/>
            <w:tcBorders>
              <w:top w:val="single" w:sz="8" w:space="0" w:color="auto"/>
              <w:left w:val="nil"/>
              <w:bottom w:val="single" w:sz="4" w:space="0" w:color="auto"/>
              <w:right w:val="single" w:sz="4" w:space="0" w:color="auto"/>
            </w:tcBorders>
            <w:shd w:val="clear" w:color="000000" w:fill="AEAAAA"/>
            <w:noWrap/>
            <w:vAlign w:val="center"/>
            <w:hideMark/>
          </w:tcPr>
          <w:p w:rsidR="0080053E" w:rsidRPr="00341D37" w:rsidRDefault="00AB1CFC" w:rsidP="00AB1CFC">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Answers by R</w:t>
            </w:r>
            <w:r w:rsidR="0080053E" w:rsidRPr="00341D37">
              <w:rPr>
                <w:rFonts w:ascii="Book Antiqua" w:eastAsia="Times New Roman" w:hAnsi="Book Antiqua" w:cs="Calibri"/>
                <w:b/>
                <w:bCs/>
                <w:color w:val="000000"/>
              </w:rPr>
              <w:t xml:space="preserve">esolution </w:t>
            </w:r>
            <w:r w:rsidRPr="00341D37">
              <w:rPr>
                <w:rFonts w:ascii="Book Antiqua" w:eastAsia="Times New Roman" w:hAnsi="Book Antiqua" w:cs="Calibri"/>
                <w:b/>
                <w:bCs/>
                <w:color w:val="000000"/>
              </w:rPr>
              <w:t>A</w:t>
            </w:r>
            <w:r w:rsidR="0080053E" w:rsidRPr="00341D37">
              <w:rPr>
                <w:rFonts w:ascii="Book Antiqua" w:eastAsia="Times New Roman" w:hAnsi="Book Antiqua" w:cs="Calibri"/>
                <w:b/>
                <w:bCs/>
                <w:color w:val="000000"/>
              </w:rPr>
              <w:t>pplicant</w:t>
            </w:r>
          </w:p>
        </w:tc>
        <w:tc>
          <w:tcPr>
            <w:tcW w:w="907" w:type="pct"/>
            <w:tcBorders>
              <w:top w:val="single" w:sz="8" w:space="0" w:color="auto"/>
              <w:left w:val="nil"/>
              <w:bottom w:val="single" w:sz="4" w:space="0" w:color="auto"/>
              <w:right w:val="single" w:sz="8" w:space="0" w:color="auto"/>
            </w:tcBorders>
            <w:shd w:val="clear" w:color="000000" w:fill="AEAAAA"/>
            <w:vAlign w:val="center"/>
            <w:hideMark/>
          </w:tcPr>
          <w:p w:rsidR="0080053E" w:rsidRPr="00341D37" w:rsidRDefault="0080053E" w:rsidP="00AB1CFC">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Documents attached in support (Self</w:t>
            </w:r>
            <w:r w:rsidR="00AB1CFC" w:rsidRPr="00341D37">
              <w:rPr>
                <w:rFonts w:ascii="Book Antiqua" w:eastAsia="Times New Roman" w:hAnsi="Book Antiqua" w:cs="Calibri"/>
                <w:b/>
                <w:bCs/>
                <w:color w:val="000000"/>
              </w:rPr>
              <w:t>-</w:t>
            </w:r>
            <w:r w:rsidRPr="00341D37">
              <w:rPr>
                <w:rFonts w:ascii="Book Antiqua" w:eastAsia="Times New Roman" w:hAnsi="Book Antiqua" w:cs="Calibri"/>
                <w:b/>
                <w:bCs/>
                <w:color w:val="000000"/>
              </w:rPr>
              <w:t>attested)</w:t>
            </w:r>
          </w:p>
        </w:tc>
      </w:tr>
      <w:tr w:rsidR="0080053E" w:rsidRPr="00341D37" w:rsidTr="00AB1CFC">
        <w:trPr>
          <w:trHeight w:val="76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Name of Resolution Applicant (In case of joint Applicants, similar information is required for all such persons , fill up </w:t>
            </w:r>
            <w:r w:rsidR="00341D37">
              <w:rPr>
                <w:rFonts w:ascii="Book Antiqua" w:eastAsia="Times New Roman" w:hAnsi="Book Antiqua" w:cs="Calibri"/>
                <w:i/>
                <w:color w:val="000000"/>
              </w:rPr>
              <w:t>Annexure-</w:t>
            </w:r>
            <w:r w:rsidRPr="00341D37">
              <w:rPr>
                <w:rFonts w:ascii="Book Antiqua" w:eastAsia="Times New Roman" w:hAnsi="Book Antiqua" w:cs="Calibri"/>
                <w:i/>
                <w:color w:val="000000"/>
              </w:rPr>
              <w:t>1</w:t>
            </w:r>
            <w:r w:rsidRPr="00341D37">
              <w:rPr>
                <w:rFonts w:ascii="Book Antiqua" w:eastAsia="Times New Roman" w:hAnsi="Book Antiqua" w:cs="Calibri"/>
                <w:color w:val="000000"/>
              </w:rPr>
              <w:t xml:space="preserve"> mentioned below)</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9958B3"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Kindly fill the </w:t>
            </w:r>
            <w:r w:rsidRPr="00341D37">
              <w:rPr>
                <w:rFonts w:ascii="Book Antiqua" w:eastAsia="Times New Roman" w:hAnsi="Book Antiqua" w:cs="Calibri"/>
                <w:i/>
                <w:color w:val="000000"/>
              </w:rPr>
              <w:t>Annexure-1</w:t>
            </w:r>
            <w:r w:rsidRPr="00341D37">
              <w:rPr>
                <w:rFonts w:ascii="Book Antiqua" w:eastAsia="Times New Roman" w:hAnsi="Book Antiqua" w:cs="Calibri"/>
                <w:color w:val="000000"/>
              </w:rPr>
              <w:t>, if needed</w:t>
            </w: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2</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Type of Person (Individual/Company/Partnership Firm/Proprietorship, LLP, etc.)Documents of constitution, Registrations, PAN, </w:t>
            </w:r>
            <w:proofErr w:type="spellStart"/>
            <w:r w:rsidRPr="00341D37">
              <w:rPr>
                <w:rFonts w:ascii="Book Antiqua" w:eastAsia="Times New Roman" w:hAnsi="Book Antiqua" w:cs="Calibri"/>
                <w:color w:val="000000"/>
              </w:rPr>
              <w:t>Aadhaar</w:t>
            </w:r>
            <w:proofErr w:type="spellEnd"/>
            <w:r w:rsidRPr="00341D37">
              <w:rPr>
                <w:rFonts w:ascii="Book Antiqua" w:eastAsia="Times New Roman" w:hAnsi="Book Antiqua" w:cs="Calibri"/>
                <w:color w:val="000000"/>
              </w:rPr>
              <w:t xml:space="preserve"> may be attached as applicable</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80053E" w:rsidP="009958B3">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 xml:space="preserve">Kindly </w:t>
            </w:r>
            <w:r w:rsidR="009958B3" w:rsidRPr="00341D37">
              <w:rPr>
                <w:rFonts w:ascii="Book Antiqua" w:eastAsia="Times New Roman" w:hAnsi="Book Antiqua" w:cs="Calibri"/>
                <w:color w:val="000000"/>
                <w:sz w:val="20"/>
              </w:rPr>
              <w:t>a</w:t>
            </w:r>
            <w:r w:rsidRPr="00341D37">
              <w:rPr>
                <w:rFonts w:ascii="Book Antiqua" w:eastAsia="Times New Roman" w:hAnsi="Book Antiqua" w:cs="Calibri"/>
                <w:color w:val="000000"/>
                <w:sz w:val="20"/>
              </w:rPr>
              <w:t>ttach relevant documents &amp; mark it as Annexure-A</w:t>
            </w: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3</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Identity detail of resolution applicant ( In Case of incorporated body)</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ttach relevant documents &amp; mark it as Annexure-B</w:t>
            </w: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proofErr w:type="spellStart"/>
            <w:r w:rsidRPr="00341D37">
              <w:rPr>
                <w:rFonts w:ascii="Book Antiqua" w:eastAsia="Times New Roman" w:hAnsi="Book Antiqua" w:cs="Calibri"/>
                <w:color w:val="000000"/>
              </w:rPr>
              <w:t>i</w:t>
            </w:r>
            <w:proofErr w:type="spellEnd"/>
            <w:r w:rsidRPr="00341D37">
              <w:rPr>
                <w:rFonts w:ascii="Book Antiqua" w:eastAsia="Times New Roman" w:hAnsi="Book Antiqua" w:cs="Calibri"/>
                <w:color w:val="000000"/>
              </w:rPr>
              <w:t>.</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Corporate Identification or Registration Number</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ii.</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Authority with which the resolution applicant is registered</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iii.</w:t>
            </w:r>
          </w:p>
        </w:tc>
        <w:tc>
          <w:tcPr>
            <w:tcW w:w="2187"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Registered Address</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iv.</w:t>
            </w:r>
          </w:p>
        </w:tc>
        <w:tc>
          <w:tcPr>
            <w:tcW w:w="2187"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Correspondence Address / other addresses</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v.</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Name, Designation, Email Id, Mobile No. and other contact details of the designated person</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vi.</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Details of Board of Directors/Promoters/key managerial personnel* of Resolution Applicant</w:t>
            </w:r>
            <w:r w:rsidRPr="00341D37">
              <w:rPr>
                <w:rFonts w:ascii="Book Antiqua" w:eastAsia="Times New Roman" w:hAnsi="Book Antiqua" w:cs="Calibri"/>
                <w:color w:val="000000"/>
              </w:rPr>
              <w:br/>
              <w:t xml:space="preserve">along with full name, age, designation, PAN, </w:t>
            </w:r>
            <w:proofErr w:type="spellStart"/>
            <w:r w:rsidRPr="00341D37">
              <w:rPr>
                <w:rFonts w:ascii="Book Antiqua" w:eastAsia="Times New Roman" w:hAnsi="Book Antiqua" w:cs="Calibri"/>
                <w:color w:val="000000"/>
              </w:rPr>
              <w:t>Aadhar</w:t>
            </w:r>
            <w:proofErr w:type="spellEnd"/>
            <w:r w:rsidRPr="00341D37">
              <w:rPr>
                <w:rFonts w:ascii="Book Antiqua" w:eastAsia="Times New Roman" w:hAnsi="Book Antiqua" w:cs="Calibri"/>
                <w:color w:val="000000"/>
              </w:rPr>
              <w:t xml:space="preserve"> for each director</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76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vii.</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 of shareholding pattern with complete details of shareholders holding more than 5% shares in the company</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lastRenderedPageBreak/>
              <w:t>3B.</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Identity detail of resolution applicant</w:t>
            </w:r>
            <w:r w:rsidRPr="00341D37">
              <w:rPr>
                <w:rFonts w:ascii="Book Antiqua" w:eastAsia="Times New Roman" w:hAnsi="Book Antiqua" w:cs="Calibri"/>
                <w:color w:val="000000"/>
              </w:rPr>
              <w:br/>
              <w:t xml:space="preserve">(Individual) Name of Resolution Applicant, Father's name, Age, PAN, </w:t>
            </w:r>
            <w:proofErr w:type="spellStart"/>
            <w:r w:rsidRPr="00341D37">
              <w:rPr>
                <w:rFonts w:ascii="Book Antiqua" w:eastAsia="Times New Roman" w:hAnsi="Book Antiqua" w:cs="Calibri"/>
                <w:color w:val="000000"/>
              </w:rPr>
              <w:t>Aadhar</w:t>
            </w:r>
            <w:proofErr w:type="spellEnd"/>
            <w:r w:rsidRPr="00341D37">
              <w:rPr>
                <w:rFonts w:ascii="Book Antiqua" w:eastAsia="Times New Roman" w:hAnsi="Book Antiqua" w:cs="Calibri"/>
                <w:color w:val="000000"/>
              </w:rPr>
              <w:t>, Nationality, Email Id and Mobile and Telephone No.</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 xml:space="preserve">ttach relevant documents &amp; mark it as Annexure </w:t>
            </w:r>
            <w:r w:rsidR="00463DC0" w:rsidRPr="00341D37">
              <w:rPr>
                <w:rFonts w:ascii="Book Antiqua" w:eastAsia="Times New Roman" w:hAnsi="Book Antiqua" w:cs="Calibri"/>
                <w:color w:val="000000"/>
                <w:sz w:val="20"/>
              </w:rPr>
              <w:t>–</w:t>
            </w:r>
            <w:r w:rsidR="0080053E" w:rsidRPr="00341D37">
              <w:rPr>
                <w:rFonts w:ascii="Book Antiqua" w:eastAsia="Times New Roman" w:hAnsi="Book Antiqua" w:cs="Calibri"/>
                <w:color w:val="000000"/>
                <w:sz w:val="20"/>
              </w:rPr>
              <w:t>C</w:t>
            </w: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proofErr w:type="spellStart"/>
            <w:r w:rsidRPr="00341D37">
              <w:rPr>
                <w:rFonts w:ascii="Book Antiqua" w:eastAsia="Times New Roman" w:hAnsi="Book Antiqua" w:cs="Calibri"/>
                <w:color w:val="000000"/>
              </w:rPr>
              <w:t>i</w:t>
            </w:r>
            <w:proofErr w:type="spellEnd"/>
            <w:r w:rsidRPr="00341D37">
              <w:rPr>
                <w:rFonts w:ascii="Book Antiqua" w:eastAsia="Times New Roman" w:hAnsi="Book Antiqua" w:cs="Calibri"/>
                <w:color w:val="000000"/>
              </w:rPr>
              <w:t>.</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Address (Business and residence)</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4</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Financial Information (Audited financial statements of the resolution applicants for two financial years </w:t>
            </w:r>
            <w:proofErr w:type="spellStart"/>
            <w:r w:rsidRPr="00341D37">
              <w:rPr>
                <w:rFonts w:ascii="Book Antiqua" w:eastAsia="Times New Roman" w:hAnsi="Book Antiqua" w:cs="Calibri"/>
                <w:color w:val="000000"/>
              </w:rPr>
              <w:t>i.e</w:t>
            </w:r>
            <w:proofErr w:type="spellEnd"/>
            <w:r w:rsidRPr="00341D37">
              <w:rPr>
                <w:rFonts w:ascii="Book Antiqua" w:eastAsia="Times New Roman" w:hAnsi="Book Antiqua" w:cs="Calibri"/>
                <w:color w:val="000000"/>
              </w:rPr>
              <w:t xml:space="preserve"> . 16 -17 &amp; 17 -18 before the initiation of CIRP of the Corporate Debtor to be submitted)</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 xml:space="preserve">ttach relevant documents &amp; ark it as Annexure </w:t>
            </w:r>
            <w:r w:rsidR="00463DC0" w:rsidRPr="00341D37">
              <w:rPr>
                <w:rFonts w:ascii="Book Antiqua" w:eastAsia="Times New Roman" w:hAnsi="Book Antiqua" w:cs="Calibri"/>
                <w:color w:val="000000"/>
                <w:sz w:val="20"/>
              </w:rPr>
              <w:t>–</w:t>
            </w:r>
            <w:r w:rsidR="0080053E" w:rsidRPr="00341D37">
              <w:rPr>
                <w:rFonts w:ascii="Book Antiqua" w:eastAsia="Times New Roman" w:hAnsi="Book Antiqua" w:cs="Calibri"/>
                <w:color w:val="000000"/>
                <w:sz w:val="20"/>
              </w:rPr>
              <w:t>D</w:t>
            </w: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proofErr w:type="spellStart"/>
            <w:r w:rsidRPr="00341D37">
              <w:rPr>
                <w:rFonts w:ascii="Book Antiqua" w:eastAsia="Times New Roman" w:hAnsi="Book Antiqua" w:cs="Calibri"/>
                <w:color w:val="000000"/>
              </w:rPr>
              <w:t>i</w:t>
            </w:r>
            <w:proofErr w:type="spellEnd"/>
            <w:r w:rsidRPr="00341D37">
              <w:rPr>
                <w:rFonts w:ascii="Book Antiqua" w:eastAsia="Times New Roman" w:hAnsi="Book Antiqua" w:cs="Calibri"/>
                <w:color w:val="000000"/>
              </w:rPr>
              <w:t>.</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Net Worth of the Resolution Applicant</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ii.</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Net Worth of the Group</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iii.</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Average Revenue/Turnover of the applicant for the last 3 completed years (Basis audited Financials)</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iv.</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Average EBIDTA of resolution applicant for last 3years</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5</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Details of Industry/ Segment in which resolution applicant is engaged</w:t>
            </w:r>
            <w:r w:rsidRPr="00341D37">
              <w:rPr>
                <w:rFonts w:ascii="Book Antiqua" w:eastAsia="Times New Roman" w:hAnsi="Book Antiqua" w:cs="Calibri"/>
                <w:color w:val="000000"/>
              </w:rPr>
              <w:br/>
              <w:t>No. of years of experience, Background of Resolution Applicant, geographical expanse of operations</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 xml:space="preserve">ttach relevant documents &amp; mark it as Annexure </w:t>
            </w:r>
            <w:r w:rsidR="00463DC0" w:rsidRPr="00341D37">
              <w:rPr>
                <w:rFonts w:ascii="Book Antiqua" w:eastAsia="Times New Roman" w:hAnsi="Book Antiqua" w:cs="Calibri"/>
                <w:color w:val="000000"/>
                <w:sz w:val="20"/>
              </w:rPr>
              <w:t>–</w:t>
            </w:r>
            <w:r w:rsidR="0080053E" w:rsidRPr="00341D37">
              <w:rPr>
                <w:rFonts w:ascii="Book Antiqua" w:eastAsia="Times New Roman" w:hAnsi="Book Antiqua" w:cs="Calibri"/>
                <w:color w:val="000000"/>
                <w:sz w:val="20"/>
              </w:rPr>
              <w:t>E</w:t>
            </w:r>
          </w:p>
        </w:tc>
      </w:tr>
      <w:tr w:rsidR="0080053E" w:rsidRPr="00341D37" w:rsidTr="00AB1CFC">
        <w:trPr>
          <w:trHeight w:val="127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6</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Details of experience of resolution applicant in the same business segment as of corporate debtor.</w:t>
            </w:r>
            <w:r w:rsidRPr="00341D37">
              <w:rPr>
                <w:rFonts w:ascii="Book Antiqua" w:eastAsia="Times New Roman" w:hAnsi="Book Antiqua" w:cs="Calibri"/>
                <w:color w:val="000000"/>
              </w:rPr>
              <w:br/>
              <w:t>Number of years of experience, Geographical expanse of operations, turnover in last 3 years, products, Key Customers constituting major share of its market</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80053E" w:rsidP="009958B3">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 xml:space="preserve">Kindly </w:t>
            </w:r>
            <w:r w:rsidR="009958B3" w:rsidRPr="00341D37">
              <w:rPr>
                <w:rFonts w:ascii="Book Antiqua" w:eastAsia="Times New Roman" w:hAnsi="Book Antiqua" w:cs="Calibri"/>
                <w:color w:val="000000"/>
                <w:sz w:val="20"/>
              </w:rPr>
              <w:t>a</w:t>
            </w:r>
            <w:r w:rsidRPr="00341D37">
              <w:rPr>
                <w:rFonts w:ascii="Book Antiqua" w:eastAsia="Times New Roman" w:hAnsi="Book Antiqua" w:cs="Calibri"/>
                <w:color w:val="000000"/>
                <w:sz w:val="20"/>
              </w:rPr>
              <w:t>ttach relevant</w:t>
            </w:r>
            <w:r w:rsidR="00AB1CFC" w:rsidRPr="00341D37">
              <w:rPr>
                <w:rFonts w:ascii="Book Antiqua" w:eastAsia="Times New Roman" w:hAnsi="Book Antiqua" w:cs="Calibri"/>
                <w:color w:val="000000"/>
                <w:sz w:val="20"/>
              </w:rPr>
              <w:t xml:space="preserve"> d</w:t>
            </w:r>
            <w:r w:rsidRPr="00341D37">
              <w:rPr>
                <w:rFonts w:ascii="Book Antiqua" w:eastAsia="Times New Roman" w:hAnsi="Book Antiqua" w:cs="Calibri"/>
                <w:color w:val="000000"/>
                <w:sz w:val="20"/>
              </w:rPr>
              <w:t>ocuments &amp; mark it as Annexure-F</w:t>
            </w: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7</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or any of its connected persons** is declared as un-discharged insolvent under any law in India or in jurisdiction outside India.</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8</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or any of its connected persons are declared as "</w:t>
            </w:r>
            <w:r w:rsidR="00463449" w:rsidRPr="00341D37">
              <w:rPr>
                <w:rFonts w:ascii="Book Antiqua" w:eastAsia="Times New Roman" w:hAnsi="Book Antiqua" w:cs="Calibri"/>
                <w:color w:val="000000"/>
              </w:rPr>
              <w:t>willful</w:t>
            </w:r>
            <w:r w:rsidRPr="00341D37">
              <w:rPr>
                <w:rFonts w:ascii="Book Antiqua" w:eastAsia="Times New Roman" w:hAnsi="Book Antiqua" w:cs="Calibri"/>
                <w:color w:val="000000"/>
              </w:rPr>
              <w:t xml:space="preserve"> defaulter(s)" in accordance with the guidelines issued by RBI under Banking Regulation Act, 1949</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255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lastRenderedPageBreak/>
              <w:t>9</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resolution applicant or its connected persons has an account, or an account of a corporate debtor under the management or control of such person or of whom such person is a promoter, classified as non-performing asset in accordance with the guidelines of the Reserve Bank of India issued under the Banking Regulation Act, 1949 and at least a period of one year has lapsed from the date of such  classification till the date of commencement of the corporate insolvency resolution process of the corporate debtor</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78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10</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Whether the resolution applicant or any of its connected persons has been convicted for any offence punishable with imprisonment </w:t>
            </w:r>
            <w:r w:rsidRPr="00341D37">
              <w:rPr>
                <w:rFonts w:ascii="Book Antiqua" w:eastAsia="Times New Roman" w:hAnsi="Book Antiqua" w:cs="Calibri"/>
                <w:color w:val="000000"/>
              </w:rPr>
              <w:br/>
              <w:t>a.  for two years or more under any Act specified under the Twelfth Schedule; or</w:t>
            </w:r>
            <w:r w:rsidRPr="00341D37">
              <w:rPr>
                <w:rFonts w:ascii="Book Antiqua" w:eastAsia="Times New Roman" w:hAnsi="Book Antiqua" w:cs="Calibri"/>
                <w:color w:val="000000"/>
              </w:rPr>
              <w:br/>
              <w:t>b. for seven years or more under any law for the time being in force</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76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11</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(if an individual) or any of its connected persons is disqualified to act as a director under the  Companies Act, 2013</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76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12</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or any of its connected persons, prohibited by SEBI from trading in securities or accessing the securities market</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204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13</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or any of its connected persons has been a promoter or in the management or control of a corporate debtor in which a preferential transaction, undervalued transaction, extortionate credit transaction or fraudulent transaction has taken place and in respect of which an order has been made by the</w:t>
            </w:r>
            <w:r w:rsidRPr="00341D37">
              <w:rPr>
                <w:rFonts w:ascii="Book Antiqua" w:eastAsia="Times New Roman" w:hAnsi="Book Antiqua" w:cs="Calibri"/>
                <w:color w:val="000000"/>
              </w:rPr>
              <w:br w:type="page"/>
              <w:t>Adjudicating Authority under this Code</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785"/>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lastRenderedPageBreak/>
              <w:t>14</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Whether the resolution applicant or any of its connected persons has executed a guarantee in </w:t>
            </w:r>
            <w:proofErr w:type="spellStart"/>
            <w:r w:rsidRPr="00341D37">
              <w:rPr>
                <w:rFonts w:ascii="Book Antiqua" w:eastAsia="Times New Roman" w:hAnsi="Book Antiqua" w:cs="Calibri"/>
                <w:color w:val="000000"/>
              </w:rPr>
              <w:t>favour</w:t>
            </w:r>
            <w:proofErr w:type="spellEnd"/>
            <w:r w:rsidRPr="00341D37">
              <w:rPr>
                <w:rFonts w:ascii="Book Antiqua" w:eastAsia="Times New Roman" w:hAnsi="Book Antiqua" w:cs="Calibri"/>
                <w:color w:val="000000"/>
              </w:rPr>
              <w:t xml:space="preserve"> of a creditor in respect of a corporate debtor against which an application for insolvency</w:t>
            </w:r>
            <w:r w:rsidRPr="00341D37">
              <w:rPr>
                <w:rFonts w:ascii="Book Antiqua" w:eastAsia="Times New Roman" w:hAnsi="Book Antiqua" w:cs="Calibri"/>
                <w:color w:val="000000"/>
              </w:rPr>
              <w:br/>
              <w:t>resolution made by such creditor has been admitted under this Code and such guarantee has been invoked by the creditor and remains unpaid in full or part;</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102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15</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or any of its connected persons is subject to any disability, corresponding to clauses (a) to (h), under any law in a jurisdiction outside India;</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16</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Whether the resolution applicant has a connected person not eligible under clauses (a) to (</w:t>
            </w:r>
            <w:proofErr w:type="spellStart"/>
            <w:r w:rsidRPr="00341D37">
              <w:rPr>
                <w:rFonts w:ascii="Book Antiqua" w:eastAsia="Times New Roman" w:hAnsi="Book Antiqua" w:cs="Calibri"/>
                <w:color w:val="000000"/>
              </w:rPr>
              <w:t>i</w:t>
            </w:r>
            <w:proofErr w:type="spellEnd"/>
            <w:r w:rsidRPr="00341D37">
              <w:rPr>
                <w:rFonts w:ascii="Book Antiqua" w:eastAsia="Times New Roman" w:hAnsi="Book Antiqua" w:cs="Calibri"/>
                <w:color w:val="000000"/>
              </w:rPr>
              <w:t>).</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sz w:val="20"/>
              </w:rPr>
            </w:pP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17</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Details of Holding Company*** (if any) of Resolution Applicant [same as Sr. No. 3A]</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ttach relevant document &amp; markit as Annexure-G</w:t>
            </w: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18</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Details of Subsidiary Company*** (if any) of Resolution Applicant [same as Sr. No.3A]</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ttach relevant document &amp; markit as Annexure-H</w:t>
            </w:r>
          </w:p>
        </w:tc>
      </w:tr>
      <w:tr w:rsidR="0080053E" w:rsidRPr="00341D37" w:rsidTr="00AB1CFC">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19</w:t>
            </w:r>
          </w:p>
        </w:tc>
        <w:tc>
          <w:tcPr>
            <w:tcW w:w="2187" w:type="pct"/>
            <w:tcBorders>
              <w:top w:val="nil"/>
              <w:left w:val="nil"/>
              <w:bottom w:val="single" w:sz="4"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Details of Associate Company*** (if any) of Resolution Applicant [same as Sr. No. 3A]</w:t>
            </w:r>
          </w:p>
        </w:tc>
        <w:tc>
          <w:tcPr>
            <w:tcW w:w="1548" w:type="pct"/>
            <w:tcBorders>
              <w:top w:val="nil"/>
              <w:left w:val="nil"/>
              <w:bottom w:val="single" w:sz="4"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4"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ttach relevant document &amp; markit as Annexure-I</w:t>
            </w:r>
          </w:p>
        </w:tc>
      </w:tr>
      <w:tr w:rsidR="0080053E" w:rsidRPr="00341D37" w:rsidTr="00AB1CFC">
        <w:trPr>
          <w:trHeight w:val="1035"/>
        </w:trPr>
        <w:tc>
          <w:tcPr>
            <w:tcW w:w="358" w:type="pct"/>
            <w:tcBorders>
              <w:top w:val="nil"/>
              <w:left w:val="single" w:sz="8" w:space="0" w:color="auto"/>
              <w:bottom w:val="single" w:sz="8" w:space="0" w:color="auto"/>
              <w:right w:val="single" w:sz="4" w:space="0" w:color="auto"/>
            </w:tcBorders>
            <w:shd w:val="clear" w:color="auto" w:fill="auto"/>
            <w:noWrap/>
            <w:vAlign w:val="center"/>
            <w:hideMark/>
          </w:tcPr>
          <w:p w:rsidR="0080053E" w:rsidRPr="00341D37" w:rsidRDefault="0080053E" w:rsidP="00AB1CFC">
            <w:pPr>
              <w:spacing w:after="0" w:line="240" w:lineRule="auto"/>
              <w:jc w:val="center"/>
              <w:rPr>
                <w:rFonts w:ascii="Book Antiqua" w:eastAsia="Times New Roman" w:hAnsi="Book Antiqua" w:cs="Calibri"/>
                <w:color w:val="000000"/>
              </w:rPr>
            </w:pPr>
            <w:r w:rsidRPr="00341D37">
              <w:rPr>
                <w:rFonts w:ascii="Book Antiqua" w:eastAsia="Times New Roman" w:hAnsi="Book Antiqua" w:cs="Calibri"/>
                <w:color w:val="000000"/>
              </w:rPr>
              <w:t>20</w:t>
            </w:r>
          </w:p>
        </w:tc>
        <w:tc>
          <w:tcPr>
            <w:tcW w:w="2187" w:type="pct"/>
            <w:tcBorders>
              <w:top w:val="nil"/>
              <w:left w:val="nil"/>
              <w:bottom w:val="single" w:sz="8" w:space="0" w:color="auto"/>
              <w:right w:val="single" w:sz="4" w:space="0" w:color="auto"/>
            </w:tcBorders>
            <w:shd w:val="clear" w:color="auto" w:fill="auto"/>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r w:rsidRPr="00341D37">
              <w:rPr>
                <w:rFonts w:ascii="Book Antiqua" w:eastAsia="Times New Roman" w:hAnsi="Book Antiqua" w:cs="Calibri"/>
                <w:color w:val="000000"/>
              </w:rPr>
              <w:t xml:space="preserve">Details of any other 'related party’ 'Connected Parties’ of the resolution applicant for which the answer to queries at Sr. No. 7 to 13 is in assertive. #(Disclosing-PAN, </w:t>
            </w:r>
            <w:proofErr w:type="spellStart"/>
            <w:r w:rsidRPr="00341D37">
              <w:rPr>
                <w:rFonts w:ascii="Book Antiqua" w:eastAsia="Times New Roman" w:hAnsi="Book Antiqua" w:cs="Calibri"/>
                <w:color w:val="000000"/>
              </w:rPr>
              <w:t>Aadhaar</w:t>
            </w:r>
            <w:proofErr w:type="spellEnd"/>
            <w:r w:rsidRPr="00341D37">
              <w:rPr>
                <w:rFonts w:ascii="Book Antiqua" w:eastAsia="Times New Roman" w:hAnsi="Book Antiqua" w:cs="Calibri"/>
                <w:color w:val="000000"/>
              </w:rPr>
              <w:t xml:space="preserve"> ,DIN, Type of Relation &amp; CIBIL Score)</w:t>
            </w:r>
          </w:p>
        </w:tc>
        <w:tc>
          <w:tcPr>
            <w:tcW w:w="1548" w:type="pct"/>
            <w:tcBorders>
              <w:top w:val="nil"/>
              <w:left w:val="nil"/>
              <w:bottom w:val="single" w:sz="8" w:space="0" w:color="auto"/>
              <w:right w:val="single" w:sz="4" w:space="0" w:color="auto"/>
            </w:tcBorders>
            <w:shd w:val="clear" w:color="auto" w:fill="auto"/>
            <w:noWrap/>
            <w:vAlign w:val="center"/>
            <w:hideMark/>
          </w:tcPr>
          <w:p w:rsidR="0080053E" w:rsidRPr="00341D37" w:rsidRDefault="0080053E" w:rsidP="00AB1CFC">
            <w:pPr>
              <w:spacing w:after="0" w:line="240" w:lineRule="auto"/>
              <w:jc w:val="both"/>
              <w:rPr>
                <w:rFonts w:ascii="Book Antiqua" w:eastAsia="Times New Roman" w:hAnsi="Book Antiqua" w:cs="Calibri"/>
                <w:color w:val="000000"/>
              </w:rPr>
            </w:pPr>
          </w:p>
        </w:tc>
        <w:tc>
          <w:tcPr>
            <w:tcW w:w="907" w:type="pct"/>
            <w:tcBorders>
              <w:top w:val="nil"/>
              <w:left w:val="nil"/>
              <w:bottom w:val="single" w:sz="8" w:space="0" w:color="auto"/>
              <w:right w:val="single" w:sz="8" w:space="0" w:color="auto"/>
            </w:tcBorders>
            <w:shd w:val="clear" w:color="auto" w:fill="auto"/>
            <w:vAlign w:val="center"/>
            <w:hideMark/>
          </w:tcPr>
          <w:p w:rsidR="0080053E" w:rsidRPr="00341D37" w:rsidRDefault="009958B3" w:rsidP="00AB1CFC">
            <w:pPr>
              <w:spacing w:after="0" w:line="240" w:lineRule="auto"/>
              <w:jc w:val="both"/>
              <w:rPr>
                <w:rFonts w:ascii="Book Antiqua" w:eastAsia="Times New Roman" w:hAnsi="Book Antiqua" w:cs="Calibri"/>
                <w:color w:val="000000"/>
                <w:sz w:val="20"/>
              </w:rPr>
            </w:pPr>
            <w:r w:rsidRPr="00341D37">
              <w:rPr>
                <w:rFonts w:ascii="Book Antiqua" w:eastAsia="Times New Roman" w:hAnsi="Book Antiqua" w:cs="Calibri"/>
                <w:color w:val="000000"/>
                <w:sz w:val="20"/>
              </w:rPr>
              <w:t>Kindly a</w:t>
            </w:r>
            <w:r w:rsidR="0080053E" w:rsidRPr="00341D37">
              <w:rPr>
                <w:rFonts w:ascii="Book Antiqua" w:eastAsia="Times New Roman" w:hAnsi="Book Antiqua" w:cs="Calibri"/>
                <w:color w:val="000000"/>
                <w:sz w:val="20"/>
              </w:rPr>
              <w:t>ttach relevant document &amp;</w:t>
            </w:r>
            <w:proofErr w:type="spellStart"/>
            <w:r w:rsidR="0080053E" w:rsidRPr="00341D37">
              <w:rPr>
                <w:rFonts w:ascii="Book Antiqua" w:eastAsia="Times New Roman" w:hAnsi="Book Antiqua" w:cs="Calibri"/>
                <w:color w:val="000000"/>
                <w:sz w:val="20"/>
              </w:rPr>
              <w:t>markit</w:t>
            </w:r>
            <w:proofErr w:type="spellEnd"/>
            <w:r w:rsidR="0080053E" w:rsidRPr="00341D37">
              <w:rPr>
                <w:rFonts w:ascii="Book Antiqua" w:eastAsia="Times New Roman" w:hAnsi="Book Antiqua" w:cs="Calibri"/>
                <w:color w:val="000000"/>
                <w:sz w:val="20"/>
              </w:rPr>
              <w:t xml:space="preserve"> as Annexure-J</w:t>
            </w:r>
          </w:p>
        </w:tc>
      </w:tr>
    </w:tbl>
    <w:p w:rsidR="0080053E" w:rsidRPr="00341D37" w:rsidRDefault="0080053E" w:rsidP="0080053E">
      <w:pPr>
        <w:jc w:val="center"/>
        <w:rPr>
          <w:rFonts w:ascii="Book Antiqua" w:hAnsi="Book Antiqua"/>
          <w:b/>
        </w:rPr>
      </w:pPr>
    </w:p>
    <w:p w:rsidR="0080053E" w:rsidRPr="00341D37" w:rsidRDefault="0080053E" w:rsidP="0080053E">
      <w:pPr>
        <w:jc w:val="center"/>
        <w:rPr>
          <w:rFonts w:ascii="Book Antiqua" w:hAnsi="Book Antiqua"/>
          <w:b/>
        </w:rPr>
      </w:pPr>
    </w:p>
    <w:p w:rsidR="006E7A6D" w:rsidRPr="00341D37" w:rsidRDefault="006E7A6D" w:rsidP="0080053E">
      <w:pPr>
        <w:jc w:val="center"/>
        <w:rPr>
          <w:rFonts w:ascii="Book Antiqua" w:hAnsi="Book Antiqua"/>
          <w:b/>
        </w:rPr>
      </w:pPr>
    </w:p>
    <w:p w:rsidR="006E7A6D" w:rsidRPr="00341D37" w:rsidRDefault="006E7A6D" w:rsidP="0080053E">
      <w:pPr>
        <w:jc w:val="center"/>
        <w:rPr>
          <w:rFonts w:ascii="Book Antiqua" w:hAnsi="Book Antiqua"/>
          <w:b/>
        </w:rPr>
      </w:pPr>
    </w:p>
    <w:p w:rsidR="006E7A6D" w:rsidRPr="00341D37" w:rsidRDefault="006E7A6D" w:rsidP="0080053E">
      <w:pPr>
        <w:jc w:val="center"/>
        <w:rPr>
          <w:rFonts w:ascii="Book Antiqua" w:hAnsi="Book Antiqua"/>
          <w:b/>
        </w:rPr>
      </w:pPr>
    </w:p>
    <w:p w:rsidR="006E7A6D" w:rsidRPr="00341D37" w:rsidRDefault="006E7A6D" w:rsidP="0080053E">
      <w:pPr>
        <w:jc w:val="center"/>
        <w:rPr>
          <w:rFonts w:ascii="Book Antiqua" w:hAnsi="Book Antiqua"/>
          <w:b/>
        </w:rPr>
      </w:pPr>
    </w:p>
    <w:p w:rsidR="006E7A6D" w:rsidRPr="00341D37" w:rsidRDefault="006E7A6D" w:rsidP="0080053E">
      <w:pPr>
        <w:jc w:val="center"/>
        <w:rPr>
          <w:rFonts w:ascii="Book Antiqua" w:hAnsi="Book Antiqua"/>
          <w:b/>
        </w:rPr>
      </w:pPr>
    </w:p>
    <w:p w:rsidR="0080053E" w:rsidRPr="00341D37" w:rsidRDefault="00341D37" w:rsidP="0080053E">
      <w:pPr>
        <w:jc w:val="center"/>
        <w:rPr>
          <w:rFonts w:ascii="Book Antiqua" w:hAnsi="Book Antiqua"/>
          <w:b/>
          <w:u w:val="single"/>
        </w:rPr>
      </w:pPr>
      <w:r w:rsidRPr="00341D37">
        <w:rPr>
          <w:rFonts w:ascii="Book Antiqua" w:hAnsi="Book Antiqua"/>
          <w:b/>
          <w:u w:val="single"/>
        </w:rPr>
        <w:t>Annexure-</w:t>
      </w:r>
      <w:r w:rsidR="0080053E" w:rsidRPr="00341D37">
        <w:rPr>
          <w:rFonts w:ascii="Book Antiqua" w:hAnsi="Book Antiqua"/>
          <w:b/>
          <w:u w:val="single"/>
        </w:rPr>
        <w:t>1</w:t>
      </w:r>
    </w:p>
    <w:p w:rsidR="0080053E" w:rsidRPr="00341D37" w:rsidRDefault="00341D37" w:rsidP="0080053E">
      <w:pPr>
        <w:jc w:val="center"/>
        <w:rPr>
          <w:rFonts w:ascii="Book Antiqua" w:hAnsi="Book Antiqua"/>
          <w:b/>
          <w:sz w:val="24"/>
        </w:rPr>
      </w:pPr>
      <w:r w:rsidRPr="00341D37">
        <w:rPr>
          <w:rFonts w:ascii="Book Antiqua" w:hAnsi="Book Antiqua"/>
          <w:b/>
          <w:sz w:val="24"/>
        </w:rPr>
        <w:t>Details of Joint A</w:t>
      </w:r>
      <w:r w:rsidR="0080053E" w:rsidRPr="00341D37">
        <w:rPr>
          <w:rFonts w:ascii="Book Antiqua" w:hAnsi="Book Antiqua"/>
          <w:b/>
          <w:sz w:val="24"/>
        </w:rPr>
        <w:t>pplicants</w:t>
      </w:r>
    </w:p>
    <w:tbl>
      <w:tblPr>
        <w:tblW w:w="4885" w:type="pct"/>
        <w:tblInd w:w="108" w:type="dxa"/>
        <w:tblLook w:val="04A0"/>
      </w:tblPr>
      <w:tblGrid>
        <w:gridCol w:w="4004"/>
        <w:gridCol w:w="2708"/>
        <w:gridCol w:w="2644"/>
      </w:tblGrid>
      <w:tr w:rsidR="0080053E" w:rsidRPr="00341D37" w:rsidTr="009958B3">
        <w:trPr>
          <w:trHeight w:val="510"/>
        </w:trPr>
        <w:tc>
          <w:tcPr>
            <w:tcW w:w="2140" w:type="pct"/>
            <w:tcBorders>
              <w:top w:val="single" w:sz="8" w:space="0" w:color="auto"/>
              <w:left w:val="single" w:sz="8" w:space="0" w:color="auto"/>
              <w:bottom w:val="single" w:sz="4" w:space="0" w:color="auto"/>
              <w:right w:val="single" w:sz="4" w:space="0" w:color="auto"/>
            </w:tcBorders>
            <w:shd w:val="clear" w:color="000000" w:fill="AEAAAA"/>
            <w:vAlign w:val="bottom"/>
            <w:hideMark/>
          </w:tcPr>
          <w:p w:rsidR="0080053E" w:rsidRPr="00341D37" w:rsidRDefault="0080053E" w:rsidP="009958B3">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Name of applicant</w:t>
            </w:r>
          </w:p>
        </w:tc>
        <w:tc>
          <w:tcPr>
            <w:tcW w:w="1447" w:type="pct"/>
            <w:tcBorders>
              <w:top w:val="single" w:sz="8" w:space="0" w:color="auto"/>
              <w:left w:val="nil"/>
              <w:bottom w:val="single" w:sz="4" w:space="0" w:color="auto"/>
              <w:right w:val="single" w:sz="4" w:space="0" w:color="auto"/>
            </w:tcBorders>
            <w:shd w:val="clear" w:color="000000" w:fill="AEAAAA"/>
            <w:vAlign w:val="bottom"/>
            <w:hideMark/>
          </w:tcPr>
          <w:p w:rsidR="0080053E" w:rsidRPr="00341D37" w:rsidRDefault="0080053E" w:rsidP="009958B3">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 of share in consortium for transaction</w:t>
            </w:r>
          </w:p>
        </w:tc>
        <w:tc>
          <w:tcPr>
            <w:tcW w:w="1414" w:type="pct"/>
            <w:tcBorders>
              <w:top w:val="single" w:sz="8" w:space="0" w:color="auto"/>
              <w:left w:val="nil"/>
              <w:bottom w:val="single" w:sz="4" w:space="0" w:color="auto"/>
              <w:right w:val="single" w:sz="8" w:space="0" w:color="auto"/>
            </w:tcBorders>
            <w:shd w:val="clear" w:color="000000" w:fill="AEAAAA"/>
            <w:noWrap/>
            <w:vAlign w:val="bottom"/>
            <w:hideMark/>
          </w:tcPr>
          <w:p w:rsidR="0080053E" w:rsidRPr="00341D37" w:rsidRDefault="0080053E" w:rsidP="009958B3">
            <w:pPr>
              <w:spacing w:after="0" w:line="240" w:lineRule="auto"/>
              <w:jc w:val="center"/>
              <w:rPr>
                <w:rFonts w:ascii="Book Antiqua" w:eastAsia="Times New Roman" w:hAnsi="Book Antiqua" w:cs="Calibri"/>
                <w:b/>
                <w:bCs/>
                <w:color w:val="000000"/>
              </w:rPr>
            </w:pPr>
            <w:r w:rsidRPr="00341D37">
              <w:rPr>
                <w:rFonts w:ascii="Book Antiqua" w:eastAsia="Times New Roman" w:hAnsi="Book Antiqua" w:cs="Calibri"/>
                <w:b/>
                <w:bCs/>
                <w:color w:val="000000"/>
              </w:rPr>
              <w:t>Nominate as Lead (Y/N)</w:t>
            </w:r>
          </w:p>
        </w:tc>
      </w:tr>
      <w:tr w:rsidR="0080053E" w:rsidRPr="00341D37" w:rsidTr="009958B3">
        <w:trPr>
          <w:trHeight w:val="255"/>
        </w:trPr>
        <w:tc>
          <w:tcPr>
            <w:tcW w:w="2140" w:type="pct"/>
            <w:tcBorders>
              <w:top w:val="nil"/>
              <w:left w:val="single" w:sz="8" w:space="0" w:color="auto"/>
              <w:bottom w:val="single" w:sz="4" w:space="0" w:color="auto"/>
              <w:right w:val="single" w:sz="4" w:space="0" w:color="auto"/>
            </w:tcBorders>
            <w:shd w:val="clear" w:color="auto" w:fill="auto"/>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47" w:type="pct"/>
            <w:tcBorders>
              <w:top w:val="nil"/>
              <w:left w:val="nil"/>
              <w:bottom w:val="single" w:sz="4" w:space="0" w:color="auto"/>
              <w:right w:val="single" w:sz="4"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14" w:type="pct"/>
            <w:tcBorders>
              <w:top w:val="nil"/>
              <w:left w:val="nil"/>
              <w:bottom w:val="single" w:sz="4" w:space="0" w:color="auto"/>
              <w:right w:val="single" w:sz="8"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r>
      <w:tr w:rsidR="0080053E" w:rsidRPr="00341D37" w:rsidTr="009958B3">
        <w:trPr>
          <w:trHeight w:val="255"/>
        </w:trPr>
        <w:tc>
          <w:tcPr>
            <w:tcW w:w="2140" w:type="pct"/>
            <w:tcBorders>
              <w:top w:val="nil"/>
              <w:left w:val="single" w:sz="8" w:space="0" w:color="auto"/>
              <w:bottom w:val="single" w:sz="4" w:space="0" w:color="auto"/>
              <w:right w:val="single" w:sz="4" w:space="0" w:color="auto"/>
            </w:tcBorders>
            <w:shd w:val="clear" w:color="auto" w:fill="auto"/>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47" w:type="pct"/>
            <w:tcBorders>
              <w:top w:val="nil"/>
              <w:left w:val="nil"/>
              <w:bottom w:val="single" w:sz="4" w:space="0" w:color="auto"/>
              <w:right w:val="single" w:sz="4"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14" w:type="pct"/>
            <w:tcBorders>
              <w:top w:val="nil"/>
              <w:left w:val="nil"/>
              <w:bottom w:val="single" w:sz="4" w:space="0" w:color="auto"/>
              <w:right w:val="single" w:sz="8"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r>
      <w:tr w:rsidR="0080053E" w:rsidRPr="00341D37" w:rsidTr="009958B3">
        <w:trPr>
          <w:trHeight w:val="255"/>
        </w:trPr>
        <w:tc>
          <w:tcPr>
            <w:tcW w:w="2140" w:type="pct"/>
            <w:tcBorders>
              <w:top w:val="nil"/>
              <w:left w:val="single" w:sz="8" w:space="0" w:color="auto"/>
              <w:bottom w:val="single" w:sz="4" w:space="0" w:color="auto"/>
              <w:right w:val="single" w:sz="4" w:space="0" w:color="auto"/>
            </w:tcBorders>
            <w:shd w:val="clear" w:color="auto" w:fill="auto"/>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47" w:type="pct"/>
            <w:tcBorders>
              <w:top w:val="nil"/>
              <w:left w:val="nil"/>
              <w:bottom w:val="single" w:sz="4" w:space="0" w:color="auto"/>
              <w:right w:val="single" w:sz="4"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14" w:type="pct"/>
            <w:tcBorders>
              <w:top w:val="nil"/>
              <w:left w:val="nil"/>
              <w:bottom w:val="single" w:sz="4" w:space="0" w:color="auto"/>
              <w:right w:val="single" w:sz="8"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r>
      <w:tr w:rsidR="0080053E" w:rsidRPr="00341D37" w:rsidTr="009958B3">
        <w:trPr>
          <w:trHeight w:val="270"/>
        </w:trPr>
        <w:tc>
          <w:tcPr>
            <w:tcW w:w="2140" w:type="pct"/>
            <w:tcBorders>
              <w:top w:val="nil"/>
              <w:left w:val="single" w:sz="8" w:space="0" w:color="auto"/>
              <w:bottom w:val="single" w:sz="8" w:space="0" w:color="auto"/>
              <w:right w:val="single" w:sz="4" w:space="0" w:color="auto"/>
            </w:tcBorders>
            <w:shd w:val="clear" w:color="auto" w:fill="auto"/>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47" w:type="pct"/>
            <w:tcBorders>
              <w:top w:val="nil"/>
              <w:left w:val="nil"/>
              <w:bottom w:val="single" w:sz="8" w:space="0" w:color="auto"/>
              <w:right w:val="single" w:sz="4"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c>
          <w:tcPr>
            <w:tcW w:w="1414" w:type="pct"/>
            <w:tcBorders>
              <w:top w:val="nil"/>
              <w:left w:val="nil"/>
              <w:bottom w:val="single" w:sz="8" w:space="0" w:color="auto"/>
              <w:right w:val="single" w:sz="8" w:space="0" w:color="auto"/>
            </w:tcBorders>
            <w:shd w:val="clear" w:color="auto" w:fill="auto"/>
            <w:noWrap/>
            <w:vAlign w:val="bottom"/>
            <w:hideMark/>
          </w:tcPr>
          <w:p w:rsidR="0080053E" w:rsidRPr="00341D37" w:rsidRDefault="0080053E" w:rsidP="0080053E">
            <w:pPr>
              <w:spacing w:after="0" w:line="240" w:lineRule="auto"/>
              <w:rPr>
                <w:rFonts w:ascii="Book Antiqua" w:eastAsia="Times New Roman" w:hAnsi="Book Antiqua" w:cs="Calibri"/>
                <w:color w:val="000000"/>
              </w:rPr>
            </w:pPr>
            <w:r w:rsidRPr="00341D37">
              <w:rPr>
                <w:rFonts w:ascii="Book Antiqua" w:eastAsia="Times New Roman" w:hAnsi="Book Antiqua" w:cs="Calibri"/>
                <w:color w:val="000000"/>
              </w:rPr>
              <w:t> </w:t>
            </w:r>
          </w:p>
        </w:tc>
      </w:tr>
    </w:tbl>
    <w:p w:rsidR="0080053E" w:rsidRPr="00341D37" w:rsidRDefault="0080053E" w:rsidP="0080053E">
      <w:pPr>
        <w:rPr>
          <w:rFonts w:ascii="Book Antiqua" w:hAnsi="Book Antiqua"/>
        </w:rPr>
      </w:pPr>
    </w:p>
    <w:p w:rsidR="0080053E" w:rsidRPr="00341D37" w:rsidRDefault="0080053E" w:rsidP="009958B3">
      <w:pPr>
        <w:jc w:val="both"/>
        <w:rPr>
          <w:rFonts w:ascii="Book Antiqua" w:hAnsi="Book Antiqua"/>
          <w:b/>
        </w:rPr>
      </w:pPr>
      <w:r w:rsidRPr="00341D37">
        <w:rPr>
          <w:rFonts w:ascii="Book Antiqua" w:hAnsi="Book Antiqua"/>
          <w:b/>
        </w:rPr>
        <w:t>1. Resolution applicant is required to submit an affidavit that he is not ineligible as per the provisions of section 29A</w:t>
      </w:r>
    </w:p>
    <w:p w:rsidR="0080053E" w:rsidRPr="00341D37" w:rsidRDefault="0080053E" w:rsidP="009958B3">
      <w:pPr>
        <w:jc w:val="both"/>
        <w:rPr>
          <w:rFonts w:ascii="Book Antiqua" w:hAnsi="Book Antiqua"/>
          <w:b/>
        </w:rPr>
      </w:pPr>
      <w:r w:rsidRPr="00341D37">
        <w:rPr>
          <w:rFonts w:ascii="Book Antiqua" w:hAnsi="Book Antiqua"/>
          <w:b/>
        </w:rPr>
        <w:t xml:space="preserve">2. Undertakings </w:t>
      </w:r>
      <w:r w:rsidR="00C007DC">
        <w:rPr>
          <w:rFonts w:ascii="Book Antiqua" w:hAnsi="Book Antiqua"/>
          <w:b/>
        </w:rPr>
        <w:t>as required under Regulation 36</w:t>
      </w:r>
      <w:r w:rsidRPr="00341D37">
        <w:rPr>
          <w:rFonts w:ascii="Book Antiqua" w:hAnsi="Book Antiqua"/>
          <w:b/>
        </w:rPr>
        <w:t xml:space="preserve">A(7) </w:t>
      </w:r>
    </w:p>
    <w:p w:rsidR="0080053E" w:rsidRPr="00341D37" w:rsidRDefault="0080053E" w:rsidP="009958B3">
      <w:pPr>
        <w:jc w:val="both"/>
        <w:rPr>
          <w:rFonts w:ascii="Book Antiqua" w:hAnsi="Book Antiqua"/>
        </w:rPr>
      </w:pPr>
      <w:r w:rsidRPr="00341D37">
        <w:rPr>
          <w:rFonts w:ascii="Book Antiqua" w:hAnsi="Book Antiqua"/>
        </w:rPr>
        <w:t>An expression of interest shall be unconditional and be accompanied by-</w:t>
      </w:r>
    </w:p>
    <w:p w:rsidR="0080053E" w:rsidRPr="00341D37" w:rsidRDefault="0080053E" w:rsidP="009958B3">
      <w:pPr>
        <w:jc w:val="both"/>
        <w:rPr>
          <w:rFonts w:ascii="Book Antiqua" w:hAnsi="Book Antiqua"/>
        </w:rPr>
      </w:pPr>
      <w:r w:rsidRPr="00341D37">
        <w:rPr>
          <w:rFonts w:ascii="Book Antiqua" w:hAnsi="Book Antiqua"/>
        </w:rPr>
        <w:t>(a) an undertaking by the prospective resolution applicant that it meets the criteria specified by the committee under clause (h) of sub-section (2) of section 25;</w:t>
      </w:r>
    </w:p>
    <w:p w:rsidR="0080053E" w:rsidRPr="00341D37" w:rsidRDefault="0080053E" w:rsidP="009958B3">
      <w:pPr>
        <w:jc w:val="both"/>
        <w:rPr>
          <w:rFonts w:ascii="Book Antiqua" w:hAnsi="Book Antiqua"/>
        </w:rPr>
      </w:pPr>
      <w:r w:rsidRPr="00341D37">
        <w:rPr>
          <w:rFonts w:ascii="Book Antiqua" w:hAnsi="Book Antiqua"/>
        </w:rPr>
        <w:t xml:space="preserve">(b) </w:t>
      </w:r>
      <w:proofErr w:type="gramStart"/>
      <w:r w:rsidRPr="00341D37">
        <w:rPr>
          <w:rFonts w:ascii="Book Antiqua" w:hAnsi="Book Antiqua"/>
        </w:rPr>
        <w:t>relevant</w:t>
      </w:r>
      <w:proofErr w:type="gramEnd"/>
      <w:r w:rsidRPr="00341D37">
        <w:rPr>
          <w:rFonts w:ascii="Book Antiqua" w:hAnsi="Book Antiqua"/>
        </w:rPr>
        <w:t xml:space="preserve"> records in evidence of meeting the criteria under clause (a);</w:t>
      </w:r>
    </w:p>
    <w:p w:rsidR="0080053E" w:rsidRPr="00341D37" w:rsidRDefault="0080053E" w:rsidP="009958B3">
      <w:pPr>
        <w:jc w:val="both"/>
        <w:rPr>
          <w:rFonts w:ascii="Book Antiqua" w:hAnsi="Book Antiqua"/>
        </w:rPr>
      </w:pPr>
      <w:r w:rsidRPr="00341D37">
        <w:rPr>
          <w:rFonts w:ascii="Book Antiqua" w:hAnsi="Book Antiqua"/>
        </w:rPr>
        <w:t xml:space="preserve">(c) </w:t>
      </w:r>
      <w:proofErr w:type="gramStart"/>
      <w:r w:rsidRPr="00341D37">
        <w:rPr>
          <w:rFonts w:ascii="Book Antiqua" w:hAnsi="Book Antiqua"/>
        </w:rPr>
        <w:t>an</w:t>
      </w:r>
      <w:proofErr w:type="gramEnd"/>
      <w:r w:rsidRPr="00341D37">
        <w:rPr>
          <w:rFonts w:ascii="Book Antiqua" w:hAnsi="Book Antiqua"/>
        </w:rPr>
        <w:t xml:space="preserve"> undertaking by the prospective resolution applicant that it does not suffer from any ineligibility under section 29A to the extent applicable;</w:t>
      </w:r>
    </w:p>
    <w:p w:rsidR="0080053E" w:rsidRPr="00341D37" w:rsidRDefault="0080053E" w:rsidP="009958B3">
      <w:pPr>
        <w:jc w:val="both"/>
        <w:rPr>
          <w:rFonts w:ascii="Book Antiqua" w:hAnsi="Book Antiqua"/>
        </w:rPr>
      </w:pPr>
      <w:r w:rsidRPr="00341D37">
        <w:rPr>
          <w:rFonts w:ascii="Book Antiqua" w:hAnsi="Book Antiqua"/>
        </w:rPr>
        <w:t xml:space="preserve">(d) </w:t>
      </w:r>
      <w:proofErr w:type="gramStart"/>
      <w:r w:rsidRPr="00341D37">
        <w:rPr>
          <w:rFonts w:ascii="Book Antiqua" w:hAnsi="Book Antiqua"/>
        </w:rPr>
        <w:t>relevant</w:t>
      </w:r>
      <w:proofErr w:type="gramEnd"/>
      <w:r w:rsidRPr="00341D37">
        <w:rPr>
          <w:rFonts w:ascii="Book Antiqua" w:hAnsi="Book Antiqua"/>
        </w:rPr>
        <w:t xml:space="preserve"> information and records to enable an assessment of ineligibility under clause (c);</w:t>
      </w:r>
    </w:p>
    <w:p w:rsidR="0080053E" w:rsidRPr="00341D37" w:rsidRDefault="0080053E" w:rsidP="009958B3">
      <w:pPr>
        <w:jc w:val="both"/>
        <w:rPr>
          <w:rFonts w:ascii="Book Antiqua" w:hAnsi="Book Antiqua"/>
        </w:rPr>
      </w:pPr>
      <w:r w:rsidRPr="00341D37">
        <w:rPr>
          <w:rFonts w:ascii="Book Antiqua" w:hAnsi="Book Antiqua"/>
        </w:rPr>
        <w:t xml:space="preserve">(e) </w:t>
      </w:r>
      <w:proofErr w:type="gramStart"/>
      <w:r w:rsidRPr="00341D37">
        <w:rPr>
          <w:rFonts w:ascii="Book Antiqua" w:hAnsi="Book Antiqua"/>
        </w:rPr>
        <w:t>an</w:t>
      </w:r>
      <w:proofErr w:type="gramEnd"/>
      <w:r w:rsidRPr="00341D37">
        <w:rPr>
          <w:rFonts w:ascii="Book Antiqua" w:hAnsi="Book Antiqua"/>
        </w:rPr>
        <w:t xml:space="preserve"> undertaking by the prospective resolution applicant that it shall intimate the resolution professional forthwith if it becomes ineligible at any time duringthe corporate insolvency resolution process;</w:t>
      </w:r>
    </w:p>
    <w:p w:rsidR="0080053E" w:rsidRPr="00341D37" w:rsidRDefault="0080053E" w:rsidP="009958B3">
      <w:pPr>
        <w:jc w:val="both"/>
        <w:rPr>
          <w:rFonts w:ascii="Book Antiqua" w:hAnsi="Book Antiqua"/>
        </w:rPr>
      </w:pPr>
      <w:r w:rsidRPr="00341D37">
        <w:rPr>
          <w:rFonts w:ascii="Book Antiqua" w:hAnsi="Book Antiqua"/>
        </w:rPr>
        <w:t>(f) an undertaking by the prospective resolution applicant that every information and records provided in expression of interest is true and correct and discoveryof any false information or record at any time will render the applicant ineligible to submit resolution plan, forfeit any refundable deposit, and attract penal action under the Code; and</w:t>
      </w:r>
    </w:p>
    <w:p w:rsidR="0080053E" w:rsidRPr="00341D37" w:rsidRDefault="0080053E" w:rsidP="009958B3">
      <w:pPr>
        <w:jc w:val="both"/>
        <w:rPr>
          <w:rFonts w:ascii="Book Antiqua" w:hAnsi="Book Antiqua"/>
        </w:rPr>
      </w:pPr>
      <w:r w:rsidRPr="00341D37">
        <w:rPr>
          <w:rFonts w:ascii="Book Antiqua" w:hAnsi="Book Antiqua"/>
        </w:rPr>
        <w:t>(g) an undertaking by the prospective resolution applicant to the effect that it shall maintain confidentiality of the information and shall not use such information to cause an undue gain or undue loss to itself or any other person and comply with the requirements under sub-section (2) of section 29.</w:t>
      </w:r>
    </w:p>
    <w:p w:rsidR="0080053E" w:rsidRDefault="0080053E" w:rsidP="009958B3">
      <w:pPr>
        <w:jc w:val="both"/>
        <w:rPr>
          <w:rFonts w:ascii="Book Antiqua" w:hAnsi="Book Antiqua"/>
        </w:rPr>
      </w:pPr>
    </w:p>
    <w:p w:rsidR="00C007DC" w:rsidRDefault="00C007DC" w:rsidP="009958B3">
      <w:pPr>
        <w:jc w:val="both"/>
        <w:rPr>
          <w:rFonts w:ascii="Book Antiqua" w:hAnsi="Book Antiqua"/>
        </w:rPr>
      </w:pPr>
    </w:p>
    <w:p w:rsidR="00C007DC" w:rsidRDefault="00C007DC" w:rsidP="009958B3">
      <w:pPr>
        <w:jc w:val="both"/>
        <w:rPr>
          <w:rFonts w:ascii="Book Antiqua" w:hAnsi="Book Antiqua"/>
        </w:rPr>
      </w:pPr>
    </w:p>
    <w:p w:rsidR="0080053E" w:rsidRPr="00341D37" w:rsidRDefault="00C007DC" w:rsidP="00AB1CFC">
      <w:pPr>
        <w:jc w:val="both"/>
        <w:rPr>
          <w:rFonts w:ascii="Book Antiqua" w:hAnsi="Book Antiqua"/>
          <w:b/>
        </w:rPr>
      </w:pPr>
      <w:r>
        <w:rPr>
          <w:rFonts w:ascii="Book Antiqua" w:hAnsi="Book Antiqua"/>
          <w:b/>
        </w:rPr>
        <w:lastRenderedPageBreak/>
        <w:t>NOTES</w:t>
      </w:r>
      <w:r w:rsidR="0080053E" w:rsidRPr="00341D37">
        <w:rPr>
          <w:rFonts w:ascii="Book Antiqua" w:hAnsi="Book Antiqua"/>
          <w:b/>
        </w:rPr>
        <w:t>:</w:t>
      </w:r>
    </w:p>
    <w:p w:rsidR="0080053E" w:rsidRPr="00341D37" w:rsidRDefault="0080053E" w:rsidP="00AB1CFC">
      <w:pPr>
        <w:jc w:val="both"/>
        <w:rPr>
          <w:rFonts w:ascii="Book Antiqua" w:hAnsi="Book Antiqua"/>
        </w:rPr>
      </w:pPr>
      <w:r w:rsidRPr="00341D37">
        <w:rPr>
          <w:rFonts w:ascii="Book Antiqua" w:hAnsi="Book Antiqua"/>
        </w:rPr>
        <w:t>*For definition of “Key Managerial Personnel” please refer to section 2(51) of Companies Act,2013</w:t>
      </w:r>
    </w:p>
    <w:p w:rsidR="0080053E" w:rsidRPr="00341D37" w:rsidRDefault="0080053E" w:rsidP="00AB1CFC">
      <w:pPr>
        <w:jc w:val="both"/>
        <w:rPr>
          <w:rFonts w:ascii="Book Antiqua" w:hAnsi="Book Antiqua"/>
        </w:rPr>
      </w:pPr>
      <w:r w:rsidRPr="00341D37">
        <w:rPr>
          <w:rFonts w:ascii="Book Antiqua" w:hAnsi="Book Antiqua"/>
        </w:rPr>
        <w:t>**As per explanation to clause (j) of section 29A of Insolv</w:t>
      </w:r>
      <w:r w:rsidR="00A80F32" w:rsidRPr="00341D37">
        <w:rPr>
          <w:rFonts w:ascii="Book Antiqua" w:hAnsi="Book Antiqua"/>
        </w:rPr>
        <w:t>ency and Bankruptcy Code, 2016 “</w:t>
      </w:r>
      <w:r w:rsidR="00463449" w:rsidRPr="00341D37">
        <w:rPr>
          <w:rFonts w:ascii="Book Antiqua" w:hAnsi="Book Antiqua"/>
        </w:rPr>
        <w:t>connected person</w:t>
      </w:r>
      <w:r w:rsidRPr="00341D37">
        <w:rPr>
          <w:rFonts w:ascii="Book Antiqua" w:hAnsi="Book Antiqua"/>
        </w:rPr>
        <w:t xml:space="preserve"> means</w:t>
      </w:r>
      <w:r w:rsidRPr="00341D37">
        <w:rPr>
          <w:rFonts w:ascii="Book Antiqua" w:hAnsi="Book Antiqua" w:cs="Book Antiqua"/>
        </w:rPr>
        <w:t>—</w:t>
      </w:r>
    </w:p>
    <w:p w:rsidR="00AB1CFC" w:rsidRPr="00341D37" w:rsidRDefault="0080053E" w:rsidP="00AB1CFC">
      <w:pPr>
        <w:pStyle w:val="ListParagraph"/>
        <w:numPr>
          <w:ilvl w:val="0"/>
          <w:numId w:val="2"/>
        </w:numPr>
        <w:jc w:val="both"/>
        <w:rPr>
          <w:rFonts w:ascii="Book Antiqua" w:hAnsi="Book Antiqua"/>
        </w:rPr>
      </w:pPr>
      <w:r w:rsidRPr="00341D37">
        <w:rPr>
          <w:rFonts w:ascii="Book Antiqua" w:hAnsi="Book Antiqua"/>
        </w:rPr>
        <w:t>any person who is the promoter or in the management or contr</w:t>
      </w:r>
      <w:r w:rsidR="00AB1CFC" w:rsidRPr="00341D37">
        <w:rPr>
          <w:rFonts w:ascii="Book Antiqua" w:hAnsi="Book Antiqua"/>
        </w:rPr>
        <w:t xml:space="preserve">ol of the resolution applicant; </w:t>
      </w:r>
      <w:r w:rsidRPr="00341D37">
        <w:rPr>
          <w:rFonts w:ascii="Book Antiqua" w:hAnsi="Book Antiqua"/>
        </w:rPr>
        <w:t>or</w:t>
      </w:r>
    </w:p>
    <w:p w:rsidR="00AB1CFC" w:rsidRPr="00341D37" w:rsidRDefault="00AB1CFC" w:rsidP="00AB1CFC">
      <w:pPr>
        <w:pStyle w:val="ListParagraph"/>
        <w:numPr>
          <w:ilvl w:val="0"/>
          <w:numId w:val="2"/>
        </w:numPr>
        <w:jc w:val="both"/>
        <w:rPr>
          <w:rFonts w:ascii="Book Antiqua" w:hAnsi="Book Antiqua"/>
        </w:rPr>
      </w:pPr>
      <w:r w:rsidRPr="00341D37">
        <w:rPr>
          <w:rFonts w:ascii="Book Antiqua" w:hAnsi="Book Antiqua"/>
        </w:rPr>
        <w:t>a</w:t>
      </w:r>
      <w:r w:rsidR="0080053E" w:rsidRPr="00341D37">
        <w:rPr>
          <w:rFonts w:ascii="Book Antiqua" w:hAnsi="Book Antiqua"/>
        </w:rPr>
        <w:t>ny person who shall be the promoter or in management or control of the business of the corporate debtor during the implementation of the resolution plan;or</w:t>
      </w:r>
    </w:p>
    <w:p w:rsidR="0080053E" w:rsidRPr="00341D37" w:rsidRDefault="0080053E" w:rsidP="00AB1CFC">
      <w:pPr>
        <w:pStyle w:val="ListParagraph"/>
        <w:numPr>
          <w:ilvl w:val="0"/>
          <w:numId w:val="2"/>
        </w:numPr>
        <w:jc w:val="both"/>
        <w:rPr>
          <w:rFonts w:ascii="Book Antiqua" w:hAnsi="Book Antiqua"/>
        </w:rPr>
      </w:pPr>
      <w:r w:rsidRPr="00341D37">
        <w:rPr>
          <w:rFonts w:ascii="Book Antiqua" w:hAnsi="Book Antiqua"/>
        </w:rPr>
        <w:t>the holding company, subsidiary company, associate company or related party of a person ref</w:t>
      </w:r>
      <w:r w:rsidR="00AB1CFC" w:rsidRPr="00341D37">
        <w:rPr>
          <w:rFonts w:ascii="Book Antiqua" w:hAnsi="Book Antiqua"/>
        </w:rPr>
        <w:t>erred to in clauses (</w:t>
      </w:r>
      <w:proofErr w:type="spellStart"/>
      <w:r w:rsidR="00AB1CFC" w:rsidRPr="00341D37">
        <w:rPr>
          <w:rFonts w:ascii="Book Antiqua" w:hAnsi="Book Antiqua"/>
        </w:rPr>
        <w:t>i</w:t>
      </w:r>
      <w:proofErr w:type="spellEnd"/>
      <w:r w:rsidR="00AB1CFC" w:rsidRPr="00341D37">
        <w:rPr>
          <w:rFonts w:ascii="Book Antiqua" w:hAnsi="Book Antiqua"/>
        </w:rPr>
        <w:t>) and(ii)</w:t>
      </w:r>
    </w:p>
    <w:p w:rsidR="0080053E" w:rsidRPr="00341D37" w:rsidRDefault="0080053E" w:rsidP="00AB1CFC">
      <w:pPr>
        <w:jc w:val="both"/>
        <w:rPr>
          <w:rFonts w:ascii="Book Antiqua" w:hAnsi="Book Antiqua"/>
        </w:rPr>
      </w:pPr>
      <w:r w:rsidRPr="00341D37">
        <w:rPr>
          <w:rFonts w:ascii="Book Antiqua" w:hAnsi="Book Antiqua"/>
        </w:rPr>
        <w:t>Provided that nothing in clause (iii) of this Explanation shall apply to— (A) a scheduled bank; or (B) an asset reconstruction company registered with the Reserve Bank of India under section 3 of the Securitization and Reconstruction of Financial Assets and Enforcement of Security Interest Act, 2002; or (C) an Alternate Investment Fund registered with the Securities and Exchange Board of India.</w:t>
      </w:r>
      <w:r w:rsidR="00A80F32" w:rsidRPr="00341D37">
        <w:rPr>
          <w:rFonts w:ascii="Book Antiqua" w:hAnsi="Book Antiqua"/>
        </w:rPr>
        <w:t>”</w:t>
      </w:r>
    </w:p>
    <w:p w:rsidR="0080053E" w:rsidRPr="00341D37" w:rsidRDefault="0080053E" w:rsidP="00AB1CFC">
      <w:pPr>
        <w:jc w:val="both"/>
        <w:rPr>
          <w:rFonts w:ascii="Book Antiqua" w:hAnsi="Book Antiqua"/>
        </w:rPr>
      </w:pPr>
      <w:r w:rsidRPr="00341D37">
        <w:rPr>
          <w:rFonts w:ascii="Book Antiqua" w:hAnsi="Book Antiqua"/>
        </w:rPr>
        <w:t>***For definition of Holding Company, Subsidiary company and Associate Company please refer to section 2(46), (87) and (6) of Companies Act,2013 respectively.</w:t>
      </w:r>
    </w:p>
    <w:p w:rsidR="0080053E" w:rsidRPr="00341D37" w:rsidRDefault="00A80F32" w:rsidP="00AB1CFC">
      <w:pPr>
        <w:jc w:val="both"/>
        <w:rPr>
          <w:rFonts w:ascii="Book Antiqua" w:hAnsi="Book Antiqua"/>
        </w:rPr>
      </w:pPr>
      <w:r w:rsidRPr="00341D37">
        <w:rPr>
          <w:rFonts w:ascii="Book Antiqua" w:hAnsi="Book Antiqua"/>
        </w:rPr>
        <w:t>#</w:t>
      </w:r>
      <w:r w:rsidR="0080053E" w:rsidRPr="00341D37">
        <w:rPr>
          <w:rFonts w:ascii="Book Antiqua" w:hAnsi="Book Antiqua"/>
        </w:rPr>
        <w:t>For</w:t>
      </w:r>
      <w:r w:rsidRPr="00341D37">
        <w:rPr>
          <w:rFonts w:ascii="Book Antiqua" w:hAnsi="Book Antiqua"/>
        </w:rPr>
        <w:t xml:space="preserve">definition of "related party", refer to </w:t>
      </w:r>
      <w:r w:rsidR="0080053E" w:rsidRPr="00341D37">
        <w:rPr>
          <w:rFonts w:ascii="Book Antiqua" w:hAnsi="Book Antiqua"/>
        </w:rPr>
        <w:t xml:space="preserve">section 24 &amp; 24A </w:t>
      </w:r>
      <w:r w:rsidRPr="00341D37">
        <w:rPr>
          <w:rFonts w:ascii="Book Antiqua" w:hAnsi="Book Antiqua"/>
        </w:rPr>
        <w:t>of</w:t>
      </w:r>
      <w:r w:rsidR="0080053E" w:rsidRPr="00341D37">
        <w:rPr>
          <w:rFonts w:ascii="Book Antiqua" w:hAnsi="Book Antiqua"/>
        </w:rPr>
        <w:t xml:space="preserve"> IBC</w:t>
      </w:r>
      <w:proofErr w:type="gramStart"/>
      <w:r w:rsidR="0080053E" w:rsidRPr="00341D37">
        <w:rPr>
          <w:rFonts w:ascii="Book Antiqua" w:hAnsi="Book Antiqua"/>
        </w:rPr>
        <w:t>,2016</w:t>
      </w:r>
      <w:proofErr w:type="gramEnd"/>
      <w:r w:rsidRPr="00341D37">
        <w:rPr>
          <w:rFonts w:ascii="Book Antiqua" w:hAnsi="Book Antiqua"/>
        </w:rPr>
        <w:t>.</w:t>
      </w:r>
    </w:p>
    <w:p w:rsidR="0080053E" w:rsidRPr="00341D37" w:rsidRDefault="0080053E" w:rsidP="00AB1CFC">
      <w:pPr>
        <w:jc w:val="both"/>
        <w:rPr>
          <w:rFonts w:ascii="Book Antiqua" w:hAnsi="Book Antiqua"/>
        </w:rPr>
      </w:pPr>
      <w:r w:rsidRPr="00341D37">
        <w:rPr>
          <w:rFonts w:ascii="Book Antiqua" w:hAnsi="Book Antiqua"/>
        </w:rPr>
        <w:t>Note 1: For the Purpose of ascertaining the Eligibility of the Resolution applicant requirements of C</w:t>
      </w:r>
      <w:r w:rsidR="00A80F32" w:rsidRPr="00341D37">
        <w:rPr>
          <w:rFonts w:ascii="Book Antiqua" w:hAnsi="Book Antiqua"/>
        </w:rPr>
        <w:t>o</w:t>
      </w:r>
      <w:r w:rsidRPr="00341D37">
        <w:rPr>
          <w:rFonts w:ascii="Book Antiqua" w:hAnsi="Book Antiqua"/>
        </w:rPr>
        <w:t>C and provisions of se</w:t>
      </w:r>
      <w:r w:rsidR="00A80F32" w:rsidRPr="00341D37">
        <w:rPr>
          <w:rFonts w:ascii="Book Antiqua" w:hAnsi="Book Antiqua"/>
        </w:rPr>
        <w:t>ction 29A as amended will apply.</w:t>
      </w:r>
    </w:p>
    <w:p w:rsidR="0080053E" w:rsidRPr="00341D37" w:rsidRDefault="0080053E" w:rsidP="00AB1CFC">
      <w:pPr>
        <w:jc w:val="both"/>
        <w:rPr>
          <w:rFonts w:ascii="Book Antiqua" w:hAnsi="Book Antiqua"/>
        </w:rPr>
      </w:pPr>
      <w:r w:rsidRPr="00341D37">
        <w:rPr>
          <w:rFonts w:ascii="Book Antiqua" w:hAnsi="Book Antiqua"/>
        </w:rPr>
        <w:t>1. In case of joint resolution applicant the net worth for the purpose of ascertaining the financial potential of such resolution applicants will be their combined net worth.</w:t>
      </w:r>
    </w:p>
    <w:p w:rsidR="0080053E" w:rsidRPr="00341D37" w:rsidRDefault="0080053E" w:rsidP="00AB1CFC">
      <w:pPr>
        <w:jc w:val="both"/>
        <w:rPr>
          <w:rFonts w:ascii="Book Antiqua" w:hAnsi="Book Antiqua"/>
        </w:rPr>
      </w:pPr>
      <w:r w:rsidRPr="00341D37">
        <w:rPr>
          <w:rFonts w:ascii="Book Antiqua" w:hAnsi="Book Antiqua"/>
        </w:rPr>
        <w:t>2. The resolution applicants may attach supplementary sheets as required for furnishing relevant information.</w:t>
      </w:r>
    </w:p>
    <w:p w:rsidR="0080053E" w:rsidRPr="00341D37" w:rsidRDefault="0080053E" w:rsidP="00AB1CFC">
      <w:pPr>
        <w:jc w:val="both"/>
        <w:rPr>
          <w:rFonts w:ascii="Book Antiqua" w:hAnsi="Book Antiqua"/>
        </w:rPr>
      </w:pPr>
      <w:r w:rsidRPr="00341D37">
        <w:rPr>
          <w:rFonts w:ascii="Book Antiqua" w:hAnsi="Book Antiqua"/>
        </w:rPr>
        <w:t>Note 2: The Resolution Professional Reserves the Right to seek additional Information from Reso</w:t>
      </w:r>
      <w:r w:rsidR="00A80F32" w:rsidRPr="00341D37">
        <w:rPr>
          <w:rFonts w:ascii="Book Antiqua" w:hAnsi="Book Antiqua"/>
        </w:rPr>
        <w:t xml:space="preserve">lution Applicant &amp; Change the </w:t>
      </w:r>
      <w:proofErr w:type="spellStart"/>
      <w:r w:rsidR="00A80F32" w:rsidRPr="00341D37">
        <w:rPr>
          <w:rFonts w:ascii="Book Antiqua" w:hAnsi="Book Antiqua"/>
        </w:rPr>
        <w:t>Eo</w:t>
      </w:r>
      <w:r w:rsidRPr="00341D37">
        <w:rPr>
          <w:rFonts w:ascii="Book Antiqua" w:hAnsi="Book Antiqua"/>
        </w:rPr>
        <w:t>I</w:t>
      </w:r>
      <w:proofErr w:type="spellEnd"/>
      <w:r w:rsidRPr="00341D37">
        <w:rPr>
          <w:rFonts w:ascii="Book Antiqua" w:hAnsi="Book Antiqua"/>
        </w:rPr>
        <w:t xml:space="preserve"> Format.</w:t>
      </w:r>
    </w:p>
    <w:p w:rsidR="0080053E" w:rsidRPr="00341D37" w:rsidRDefault="0080053E" w:rsidP="00AB1CFC">
      <w:pPr>
        <w:jc w:val="both"/>
        <w:rPr>
          <w:rFonts w:ascii="Book Antiqua" w:hAnsi="Book Antiqua"/>
        </w:rPr>
      </w:pPr>
      <w:r w:rsidRPr="00341D37">
        <w:rPr>
          <w:rFonts w:ascii="Book Antiqua" w:hAnsi="Book Antiqua"/>
        </w:rPr>
        <w:t>Note 3: The Resolution Professional may charge the Processing Fees</w:t>
      </w:r>
      <w:r w:rsidR="00A80F32" w:rsidRPr="00341D37">
        <w:rPr>
          <w:rFonts w:ascii="Book Antiqua" w:hAnsi="Book Antiqua"/>
        </w:rPr>
        <w:t xml:space="preserve"> subject to the approval from Co</w:t>
      </w:r>
      <w:r w:rsidRPr="00341D37">
        <w:rPr>
          <w:rFonts w:ascii="Book Antiqua" w:hAnsi="Book Antiqua"/>
        </w:rPr>
        <w:t>C (Committee of Creditors)</w:t>
      </w:r>
      <w:r w:rsidR="00A80F32" w:rsidRPr="00341D37">
        <w:rPr>
          <w:rFonts w:ascii="Book Antiqua" w:hAnsi="Book Antiqua"/>
        </w:rPr>
        <w:t>.</w:t>
      </w:r>
    </w:p>
    <w:p w:rsidR="0080053E" w:rsidRPr="00341D37" w:rsidRDefault="00A80F32" w:rsidP="00AB1CFC">
      <w:pPr>
        <w:jc w:val="both"/>
        <w:rPr>
          <w:rFonts w:ascii="Book Antiqua" w:hAnsi="Book Antiqua"/>
        </w:rPr>
      </w:pPr>
      <w:r w:rsidRPr="00341D37">
        <w:rPr>
          <w:rFonts w:ascii="Book Antiqua" w:hAnsi="Book Antiqua"/>
        </w:rPr>
        <w:t>Note 4: All the r</w:t>
      </w:r>
      <w:r w:rsidR="0080053E" w:rsidRPr="00341D37">
        <w:rPr>
          <w:rFonts w:ascii="Book Antiqua" w:hAnsi="Book Antiqua"/>
        </w:rPr>
        <w:t xml:space="preserve">equired Financial Figures should be rounded off </w:t>
      </w:r>
      <w:proofErr w:type="spellStart"/>
      <w:r w:rsidR="0080053E" w:rsidRPr="00341D37">
        <w:rPr>
          <w:rFonts w:ascii="Book Antiqua" w:hAnsi="Book Antiqua"/>
        </w:rPr>
        <w:t>upto</w:t>
      </w:r>
      <w:proofErr w:type="spellEnd"/>
      <w:r w:rsidR="0080053E" w:rsidRPr="00341D37">
        <w:rPr>
          <w:rFonts w:ascii="Book Antiqua" w:hAnsi="Book Antiqua"/>
        </w:rPr>
        <w:t xml:space="preserve"> 2 digits and given in crores.</w:t>
      </w:r>
    </w:p>
    <w:p w:rsidR="0080053E" w:rsidRPr="00341D37" w:rsidRDefault="00A80F32" w:rsidP="00AB1CFC">
      <w:pPr>
        <w:jc w:val="both"/>
        <w:rPr>
          <w:rFonts w:ascii="Book Antiqua" w:hAnsi="Book Antiqua"/>
        </w:rPr>
      </w:pPr>
      <w:r w:rsidRPr="00341D37">
        <w:rPr>
          <w:rFonts w:ascii="Book Antiqua" w:hAnsi="Book Antiqua"/>
        </w:rPr>
        <w:t>Note 5: Kindly p</w:t>
      </w:r>
      <w:r w:rsidR="0080053E" w:rsidRPr="00341D37">
        <w:rPr>
          <w:rFonts w:ascii="Book Antiqua" w:hAnsi="Book Antiqua"/>
        </w:rPr>
        <w:t>rovide a</w:t>
      </w:r>
      <w:r w:rsidRPr="00341D37">
        <w:rPr>
          <w:rFonts w:ascii="Book Antiqua" w:hAnsi="Book Antiqua"/>
        </w:rPr>
        <w:t>ll the required information in crisp f</w:t>
      </w:r>
      <w:r w:rsidR="0080053E" w:rsidRPr="00341D37">
        <w:rPr>
          <w:rFonts w:ascii="Book Antiqua" w:hAnsi="Book Antiqua"/>
        </w:rPr>
        <w:t>ormat.</w:t>
      </w:r>
    </w:p>
    <w:p w:rsidR="005F1335" w:rsidRPr="00341D37" w:rsidRDefault="005F1335" w:rsidP="00AB1CFC">
      <w:pPr>
        <w:jc w:val="both"/>
        <w:rPr>
          <w:rFonts w:ascii="Book Antiqua" w:hAnsi="Book Antiqua"/>
        </w:rPr>
      </w:pPr>
    </w:p>
    <w:p w:rsidR="005F1335" w:rsidRPr="00341D37" w:rsidRDefault="005F1335" w:rsidP="00AB1CFC">
      <w:pPr>
        <w:jc w:val="both"/>
        <w:rPr>
          <w:rFonts w:ascii="Book Antiqua" w:hAnsi="Book Antiqua"/>
        </w:rPr>
      </w:pPr>
    </w:p>
    <w:p w:rsidR="005F1335" w:rsidRPr="00341D37" w:rsidRDefault="005F1335" w:rsidP="00AB1CFC">
      <w:pPr>
        <w:jc w:val="both"/>
        <w:rPr>
          <w:rFonts w:ascii="Book Antiqua" w:hAnsi="Book Antiqua"/>
        </w:rPr>
      </w:pPr>
    </w:p>
    <w:p w:rsidR="005F1335" w:rsidRPr="00341D37" w:rsidRDefault="005F1335" w:rsidP="00AB1CFC">
      <w:pPr>
        <w:jc w:val="both"/>
        <w:rPr>
          <w:rFonts w:ascii="Book Antiqua" w:hAnsi="Book Antiqua"/>
        </w:rPr>
      </w:pPr>
    </w:p>
    <w:p w:rsidR="005F1335" w:rsidRPr="00341D37" w:rsidRDefault="005F1335" w:rsidP="005F1335">
      <w:pPr>
        <w:jc w:val="center"/>
        <w:rPr>
          <w:rFonts w:ascii="Book Antiqua" w:hAnsi="Book Antiqua"/>
          <w:b/>
          <w:sz w:val="24"/>
          <w:u w:val="single"/>
        </w:rPr>
      </w:pPr>
      <w:r w:rsidRPr="00341D37">
        <w:rPr>
          <w:rFonts w:ascii="Book Antiqua" w:hAnsi="Book Antiqua"/>
          <w:b/>
          <w:sz w:val="24"/>
          <w:u w:val="single"/>
        </w:rPr>
        <w:t>MANDATORY INELIGIBILITY CRITERIA OF PROSPECTIVE RESOLUTION APPLICANTS UNDER SECTION 29 A TO THE EXTENT APPLICABLE / OTHER PROVISIONS</w:t>
      </w:r>
    </w:p>
    <w:p w:rsidR="005F1335" w:rsidRPr="00341D37" w:rsidRDefault="005F1335" w:rsidP="005F1335">
      <w:pPr>
        <w:jc w:val="both"/>
        <w:rPr>
          <w:rFonts w:ascii="Book Antiqua" w:hAnsi="Book Antiqua"/>
          <w:b/>
        </w:rPr>
      </w:pPr>
    </w:p>
    <w:p w:rsidR="005F1335" w:rsidRPr="00341D37" w:rsidRDefault="005F1335" w:rsidP="005F1335">
      <w:pPr>
        <w:jc w:val="both"/>
        <w:rPr>
          <w:rFonts w:ascii="Book Antiqua" w:hAnsi="Book Antiqua"/>
        </w:rPr>
      </w:pPr>
      <w:r w:rsidRPr="00341D37">
        <w:rPr>
          <w:rFonts w:ascii="Book Antiqua" w:hAnsi="Book Antiqua"/>
          <w:b/>
        </w:rPr>
        <w:t>E-1 GENERAL:</w:t>
      </w:r>
      <w:r w:rsidRPr="00341D37">
        <w:rPr>
          <w:rFonts w:ascii="Book Antiqua" w:hAnsi="Book Antiqua"/>
        </w:rPr>
        <w:t xml:space="preserve"> In this document, the Code shall mean the Insolvency and Bankruptcy Code, 2016 and the CIRP Regulation shall mean the Insolvency and Bankruptcy Board of India (Insolvency Resolution Process for Corporate Debtor) Regulations, 2016, as amended up to date and as applicable to the CIRP under consideration.</w:t>
      </w:r>
    </w:p>
    <w:p w:rsidR="005F1335" w:rsidRPr="00341D37" w:rsidRDefault="005F1335" w:rsidP="005F1335">
      <w:pPr>
        <w:jc w:val="both"/>
        <w:rPr>
          <w:rFonts w:ascii="Book Antiqua" w:hAnsi="Book Antiqua"/>
          <w:b/>
        </w:rPr>
      </w:pPr>
      <w:r w:rsidRPr="00341D37">
        <w:rPr>
          <w:rFonts w:ascii="Book Antiqua" w:hAnsi="Book Antiqua"/>
          <w:b/>
        </w:rPr>
        <w:t>E-2 CLAUSE (h) OF SUB-SECTION (2) OF SECTION 25 OF THE CODE:</w:t>
      </w:r>
    </w:p>
    <w:p w:rsidR="005F1335" w:rsidRPr="00341D37" w:rsidRDefault="005F1335" w:rsidP="005F1335">
      <w:pPr>
        <w:jc w:val="both"/>
        <w:rPr>
          <w:rFonts w:ascii="Book Antiqua" w:hAnsi="Book Antiqua"/>
        </w:rPr>
      </w:pPr>
      <w:r w:rsidRPr="00341D37">
        <w:rPr>
          <w:rFonts w:ascii="Book Antiqua" w:hAnsi="Book Antiqua"/>
        </w:rPr>
        <w:t>Section 25 (2) (h): For the purpose of sub-section (1) the resolution professional shall undertake the following actions, namely</w:t>
      </w:r>
      <w:proofErr w:type="gramStart"/>
      <w:r w:rsidRPr="00341D37">
        <w:rPr>
          <w:rFonts w:ascii="Book Antiqua" w:hAnsi="Book Antiqua"/>
        </w:rPr>
        <w:t>:-</w:t>
      </w:r>
      <w:proofErr w:type="gramEnd"/>
      <w:r w:rsidRPr="00341D37">
        <w:rPr>
          <w:rFonts w:ascii="Book Antiqua" w:hAnsi="Book Antiqua"/>
        </w:rPr>
        <w:t xml:space="preserve"> Invite prospective resolution applicants, who fulfil such criteria as may be laid down by him with the approval of committee of creditors, having regard to the complexity and scale of operations of the business of the corporate debtor and such other conditions as may be specified by the Board, to submit a resolution plan or plans.</w:t>
      </w:r>
    </w:p>
    <w:p w:rsidR="005F1335" w:rsidRPr="00341D37" w:rsidRDefault="005F1335" w:rsidP="005F1335">
      <w:pPr>
        <w:jc w:val="both"/>
        <w:rPr>
          <w:rFonts w:ascii="Book Antiqua" w:hAnsi="Book Antiqua"/>
        </w:rPr>
      </w:pPr>
      <w:r w:rsidRPr="00341D37">
        <w:rPr>
          <w:rFonts w:ascii="Book Antiqua" w:hAnsi="Book Antiqua"/>
        </w:rPr>
        <w:t>Sub-section (1) of section 25 states that it shall be the duty of the resolution professional to preserve and protect the assets of the corporate debtor, including the continued business operations of the corporate debtor.</w:t>
      </w:r>
    </w:p>
    <w:p w:rsidR="005F1335" w:rsidRPr="00341D37" w:rsidRDefault="005F1335" w:rsidP="005F1335">
      <w:pPr>
        <w:jc w:val="both"/>
        <w:rPr>
          <w:rFonts w:ascii="Book Antiqua" w:hAnsi="Book Antiqua"/>
          <w:b/>
        </w:rPr>
      </w:pPr>
      <w:r w:rsidRPr="00341D37">
        <w:rPr>
          <w:rFonts w:ascii="Book Antiqua" w:hAnsi="Book Antiqua"/>
          <w:b/>
        </w:rPr>
        <w:t>E-3 SECTION 29 (A) OF THE CODE: [PERSONS NOT ELIGIBLE TO BE RESOLUTION APPLICANT]</w:t>
      </w:r>
    </w:p>
    <w:p w:rsidR="005F1335" w:rsidRPr="00341D37" w:rsidRDefault="005F1335" w:rsidP="005F1335">
      <w:pPr>
        <w:jc w:val="both"/>
        <w:rPr>
          <w:rFonts w:ascii="Book Antiqua" w:hAnsi="Book Antiqua"/>
        </w:rPr>
      </w:pPr>
      <w:r w:rsidRPr="00341D37">
        <w:rPr>
          <w:rFonts w:ascii="Book Antiqua" w:hAnsi="Book Antiqua"/>
        </w:rPr>
        <w:t>A person shall not be eligible to submit a resolution plan if such person acting jointly or in concert with such person-</w:t>
      </w:r>
    </w:p>
    <w:p w:rsidR="005F1335" w:rsidRPr="00341D37" w:rsidRDefault="005F1335" w:rsidP="005F1335">
      <w:pPr>
        <w:jc w:val="both"/>
        <w:rPr>
          <w:rFonts w:ascii="Book Antiqua" w:hAnsi="Book Antiqua"/>
        </w:rPr>
      </w:pPr>
      <w:r w:rsidRPr="00341D37">
        <w:rPr>
          <w:rFonts w:ascii="Book Antiqua" w:hAnsi="Book Antiqua"/>
        </w:rPr>
        <w:t xml:space="preserve">(a) </w:t>
      </w:r>
      <w:proofErr w:type="gramStart"/>
      <w:r w:rsidRPr="00341D37">
        <w:rPr>
          <w:rFonts w:ascii="Book Antiqua" w:hAnsi="Book Antiqua"/>
        </w:rPr>
        <w:t>is</w:t>
      </w:r>
      <w:proofErr w:type="gramEnd"/>
      <w:r w:rsidRPr="00341D37">
        <w:rPr>
          <w:rFonts w:ascii="Book Antiqua" w:hAnsi="Book Antiqua"/>
        </w:rPr>
        <w:t xml:space="preserve"> an undischarged insolvent; </w:t>
      </w:r>
    </w:p>
    <w:p w:rsidR="005F1335" w:rsidRPr="00341D37" w:rsidRDefault="005F1335" w:rsidP="005F1335">
      <w:pPr>
        <w:jc w:val="both"/>
        <w:rPr>
          <w:rFonts w:ascii="Book Antiqua" w:hAnsi="Book Antiqua"/>
        </w:rPr>
      </w:pPr>
      <w:r w:rsidRPr="00341D37">
        <w:rPr>
          <w:rFonts w:ascii="Book Antiqua" w:hAnsi="Book Antiqua"/>
        </w:rPr>
        <w:t>(b) is a willful defaulter in accordance with the guidelines of the Reserve Bank of Indi issued under the Banking Regulation Act, 1949 (10 of 1949);</w:t>
      </w:r>
    </w:p>
    <w:p w:rsidR="005F1335" w:rsidRPr="00341D37" w:rsidRDefault="005F1335" w:rsidP="005F1335">
      <w:pPr>
        <w:jc w:val="both"/>
        <w:rPr>
          <w:rFonts w:ascii="Book Antiqua" w:hAnsi="Book Antiqua"/>
        </w:rPr>
      </w:pPr>
      <w:r w:rsidRPr="00341D37">
        <w:rPr>
          <w:rFonts w:ascii="Book Antiqua" w:hAnsi="Book Antiqua"/>
        </w:rPr>
        <w:t>(c) 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rsidR="005F1335" w:rsidRPr="00341D37" w:rsidRDefault="005F1335" w:rsidP="005F1335">
      <w:pPr>
        <w:jc w:val="both"/>
        <w:rPr>
          <w:rFonts w:ascii="Book Antiqua" w:hAnsi="Book Antiqua"/>
          <w:i/>
        </w:rPr>
      </w:pPr>
      <w:r w:rsidRPr="00341D37">
        <w:rPr>
          <w:rFonts w:ascii="Book Antiqua" w:hAnsi="Book Antiqua"/>
          <w:b/>
          <w:i/>
        </w:rPr>
        <w:t>Provided that</w:t>
      </w:r>
      <w:r w:rsidRPr="00341D37">
        <w:rPr>
          <w:rFonts w:ascii="Book Antiqua" w:hAnsi="Book Antiqua"/>
          <w:i/>
        </w:rPr>
        <w:t xml:space="preserve"> the person shall be eligible to submit a resolution plan if such person makes payment of all overdue amounts with interest thereon and charges relating to nonperforming asset accounts before submission of resolution plan;</w:t>
      </w:r>
    </w:p>
    <w:p w:rsidR="005F1335" w:rsidRPr="00341D37" w:rsidRDefault="005F1335" w:rsidP="005F1335">
      <w:pPr>
        <w:jc w:val="both"/>
        <w:rPr>
          <w:rFonts w:ascii="Book Antiqua" w:hAnsi="Book Antiqua"/>
          <w:i/>
        </w:rPr>
      </w:pPr>
      <w:r w:rsidRPr="00341D37">
        <w:rPr>
          <w:rFonts w:ascii="Book Antiqua" w:hAnsi="Book Antiqua"/>
          <w:b/>
          <w:i/>
        </w:rPr>
        <w:t>Provided further that</w:t>
      </w:r>
      <w:r w:rsidRPr="00341D37">
        <w:rPr>
          <w:rFonts w:ascii="Book Antiqua" w:hAnsi="Book Antiqua"/>
          <w:i/>
        </w:rPr>
        <w:t xml:space="preserve"> nothing in this clause shall apply to a resolution applicant where such applicant is a financial entity and is not a related party to the corporate debtor;</w:t>
      </w:r>
    </w:p>
    <w:p w:rsidR="005F1335" w:rsidRPr="00341D37" w:rsidRDefault="005F1335" w:rsidP="005F1335">
      <w:pPr>
        <w:jc w:val="both"/>
        <w:rPr>
          <w:rFonts w:ascii="Book Antiqua" w:hAnsi="Book Antiqua"/>
        </w:rPr>
      </w:pPr>
      <w:r w:rsidRPr="00341D37">
        <w:rPr>
          <w:rFonts w:ascii="Book Antiqua" w:hAnsi="Book Antiqua"/>
        </w:rPr>
        <w:lastRenderedPageBreak/>
        <w:t>Explanation 1 – For the purpose of this proviso, the expression “related party” shall not include a financial entity, regulated by a financial sector regulator, if it is a financial creditor of the corporate debtor and is a related party of corporate debtor solely on account of conversion or substitution of debt into equity shares or instruments convertible into equity shares, prior to the insolvency commencement date. Explanation II –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applicant for a period of three years from the date of approval of such resolution plan by the Adjudicating Authority under this Code;</w:t>
      </w:r>
    </w:p>
    <w:p w:rsidR="005F1335" w:rsidRPr="00341D37" w:rsidRDefault="005F1335" w:rsidP="005F1335">
      <w:pPr>
        <w:jc w:val="both"/>
        <w:rPr>
          <w:rFonts w:ascii="Book Antiqua" w:hAnsi="Book Antiqua"/>
        </w:rPr>
      </w:pPr>
      <w:r w:rsidRPr="00341D37">
        <w:rPr>
          <w:rFonts w:ascii="Book Antiqua" w:hAnsi="Book Antiqua"/>
        </w:rPr>
        <w:t xml:space="preserve">(d) </w:t>
      </w:r>
      <w:proofErr w:type="gramStart"/>
      <w:r w:rsidRPr="00341D37">
        <w:rPr>
          <w:rFonts w:ascii="Book Antiqua" w:hAnsi="Book Antiqua"/>
        </w:rPr>
        <w:t>has</w:t>
      </w:r>
      <w:proofErr w:type="gramEnd"/>
      <w:r w:rsidRPr="00341D37">
        <w:rPr>
          <w:rFonts w:ascii="Book Antiqua" w:hAnsi="Book Antiqua"/>
        </w:rPr>
        <w:t xml:space="preserve"> been convicted for any offence punishable with imprisonment –</w:t>
      </w:r>
    </w:p>
    <w:p w:rsidR="005F1335" w:rsidRPr="00341D37" w:rsidRDefault="005F1335" w:rsidP="005F1335">
      <w:pPr>
        <w:jc w:val="both"/>
        <w:rPr>
          <w:rFonts w:ascii="Book Antiqua" w:hAnsi="Book Antiqua"/>
        </w:rPr>
      </w:pPr>
      <w:proofErr w:type="spellStart"/>
      <w:proofErr w:type="gramStart"/>
      <w:r w:rsidRPr="00341D37">
        <w:rPr>
          <w:rFonts w:ascii="Book Antiqua" w:hAnsi="Book Antiqua"/>
        </w:rPr>
        <w:t>i</w:t>
      </w:r>
      <w:proofErr w:type="spellEnd"/>
      <w:proofErr w:type="gramEnd"/>
      <w:r w:rsidRPr="00341D37">
        <w:rPr>
          <w:rFonts w:ascii="Book Antiqua" w:hAnsi="Book Antiqua"/>
        </w:rPr>
        <w:t>. of two years or more under any Act specified under the Twelfth Schedule; or</w:t>
      </w:r>
    </w:p>
    <w:p w:rsidR="005F1335" w:rsidRPr="00341D37" w:rsidRDefault="005F1335" w:rsidP="005F1335">
      <w:pPr>
        <w:jc w:val="both"/>
        <w:rPr>
          <w:rFonts w:ascii="Book Antiqua" w:hAnsi="Book Antiqua"/>
        </w:rPr>
      </w:pPr>
      <w:proofErr w:type="gramStart"/>
      <w:r w:rsidRPr="00341D37">
        <w:rPr>
          <w:rFonts w:ascii="Book Antiqua" w:hAnsi="Book Antiqua"/>
        </w:rPr>
        <w:t>ii</w:t>
      </w:r>
      <w:proofErr w:type="gramEnd"/>
      <w:r w:rsidRPr="00341D37">
        <w:rPr>
          <w:rFonts w:ascii="Book Antiqua" w:hAnsi="Book Antiqua"/>
        </w:rPr>
        <w:t>. for seven years or more under any other law for the time being in force;</w:t>
      </w:r>
    </w:p>
    <w:p w:rsidR="005F1335" w:rsidRPr="00341D37" w:rsidRDefault="005F1335" w:rsidP="005F1335">
      <w:pPr>
        <w:jc w:val="both"/>
        <w:rPr>
          <w:rFonts w:ascii="Book Antiqua" w:hAnsi="Book Antiqua"/>
        </w:rPr>
      </w:pPr>
      <w:r w:rsidRPr="00341D37">
        <w:rPr>
          <w:rFonts w:ascii="Book Antiqua" w:hAnsi="Book Antiqua"/>
        </w:rPr>
        <w:t>Provided that this clause shall not apply to a person after the expiry of a period of two years from the date of his release from imprisonment;</w:t>
      </w:r>
    </w:p>
    <w:p w:rsidR="005F1335" w:rsidRPr="00341D37" w:rsidRDefault="005F1335" w:rsidP="005F1335">
      <w:pPr>
        <w:jc w:val="both"/>
        <w:rPr>
          <w:rFonts w:ascii="Book Antiqua" w:hAnsi="Book Antiqua"/>
        </w:rPr>
      </w:pPr>
      <w:r w:rsidRPr="00341D37">
        <w:rPr>
          <w:rFonts w:ascii="Book Antiqua" w:hAnsi="Book Antiqua"/>
        </w:rPr>
        <w:t xml:space="preserve">Provided further that this clause shall not apply in relation to a </w:t>
      </w:r>
      <w:r w:rsidR="00463449" w:rsidRPr="00341D37">
        <w:rPr>
          <w:rFonts w:ascii="Book Antiqua" w:hAnsi="Book Antiqua"/>
        </w:rPr>
        <w:t>connected</w:t>
      </w:r>
      <w:r w:rsidRPr="00341D37">
        <w:rPr>
          <w:rFonts w:ascii="Book Antiqua" w:hAnsi="Book Antiqua"/>
        </w:rPr>
        <w:t xml:space="preserve"> person referred to in clause (iii) of Explanation I;</w:t>
      </w:r>
    </w:p>
    <w:p w:rsidR="005F1335" w:rsidRPr="00341D37" w:rsidRDefault="005F1335" w:rsidP="005F1335">
      <w:pPr>
        <w:jc w:val="both"/>
        <w:rPr>
          <w:rFonts w:ascii="Book Antiqua" w:hAnsi="Book Antiqua"/>
        </w:rPr>
      </w:pPr>
      <w:r w:rsidRPr="00341D37">
        <w:rPr>
          <w:rFonts w:ascii="Book Antiqua" w:hAnsi="Book Antiqua"/>
        </w:rPr>
        <w:t xml:space="preserve">(e) </w:t>
      </w:r>
      <w:proofErr w:type="gramStart"/>
      <w:r w:rsidRPr="00341D37">
        <w:rPr>
          <w:rFonts w:ascii="Book Antiqua" w:hAnsi="Book Antiqua"/>
        </w:rPr>
        <w:t>is</w:t>
      </w:r>
      <w:proofErr w:type="gramEnd"/>
      <w:r w:rsidRPr="00341D37">
        <w:rPr>
          <w:rFonts w:ascii="Book Antiqua" w:hAnsi="Book Antiqua"/>
        </w:rPr>
        <w:t xml:space="preserve"> disqualified to act as a director under the Companies Act, 2013 (18 of 2013);</w:t>
      </w:r>
    </w:p>
    <w:p w:rsidR="005F1335" w:rsidRPr="00341D37" w:rsidRDefault="005F1335" w:rsidP="005F1335">
      <w:pPr>
        <w:jc w:val="both"/>
        <w:rPr>
          <w:rFonts w:ascii="Book Antiqua" w:hAnsi="Book Antiqua"/>
        </w:rPr>
      </w:pPr>
      <w:r w:rsidRPr="00341D37">
        <w:rPr>
          <w:rFonts w:ascii="Book Antiqua" w:hAnsi="Book Antiqua"/>
        </w:rPr>
        <w:t>Provided further that this clause shall not apply in relation to a connected person referred to in clause (iii) of Explanation 1;</w:t>
      </w:r>
    </w:p>
    <w:p w:rsidR="005F1335" w:rsidRPr="00341D37" w:rsidRDefault="005F1335" w:rsidP="005F1335">
      <w:pPr>
        <w:jc w:val="both"/>
        <w:rPr>
          <w:rFonts w:ascii="Book Antiqua" w:hAnsi="Book Antiqua"/>
        </w:rPr>
      </w:pPr>
      <w:r w:rsidRPr="00341D37">
        <w:rPr>
          <w:rFonts w:ascii="Book Antiqua" w:hAnsi="Book Antiqua"/>
        </w:rPr>
        <w:t xml:space="preserve">(f) </w:t>
      </w:r>
      <w:proofErr w:type="gramStart"/>
      <w:r w:rsidRPr="00341D37">
        <w:rPr>
          <w:rFonts w:ascii="Book Antiqua" w:hAnsi="Book Antiqua"/>
        </w:rPr>
        <w:t>is</w:t>
      </w:r>
      <w:proofErr w:type="gramEnd"/>
      <w:r w:rsidRPr="00341D37">
        <w:rPr>
          <w:rFonts w:ascii="Book Antiqua" w:hAnsi="Book Antiqua"/>
        </w:rPr>
        <w:t xml:space="preserve"> prohibited by the Securities and Exchange Board of India from trading in securities or accessing the securities markets;</w:t>
      </w:r>
    </w:p>
    <w:p w:rsidR="00FE4F0E" w:rsidRPr="00341D37" w:rsidRDefault="005F1335" w:rsidP="005F1335">
      <w:pPr>
        <w:jc w:val="both"/>
        <w:rPr>
          <w:rFonts w:ascii="Book Antiqua" w:hAnsi="Book Antiqua"/>
        </w:rPr>
      </w:pPr>
      <w:r w:rsidRPr="00341D37">
        <w:rPr>
          <w:rFonts w:ascii="Book Antiqua" w:hAnsi="Book Antiqua"/>
        </w:rPr>
        <w:t>(g) 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w:t>
      </w:r>
      <w:r w:rsidR="00FE4F0E" w:rsidRPr="00341D37">
        <w:rPr>
          <w:rFonts w:ascii="Book Antiqua" w:hAnsi="Book Antiqua"/>
        </w:rPr>
        <w:t>r this Code;</w:t>
      </w:r>
    </w:p>
    <w:p w:rsidR="00FE4F0E" w:rsidRPr="00341D37" w:rsidRDefault="005F1335" w:rsidP="005F1335">
      <w:pPr>
        <w:jc w:val="both"/>
        <w:rPr>
          <w:rFonts w:ascii="Book Antiqua" w:hAnsi="Book Antiqua"/>
        </w:rPr>
      </w:pPr>
      <w:r w:rsidRPr="00341D37">
        <w:rPr>
          <w:rFonts w:ascii="Book Antiqua" w:hAnsi="Book Antiqua"/>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w:t>
      </w:r>
      <w:r w:rsidR="00FE4F0E" w:rsidRPr="00341D37">
        <w:rPr>
          <w:rFonts w:ascii="Book Antiqua" w:hAnsi="Book Antiqua"/>
        </w:rPr>
        <w:t>tion or fraudulent transaction;</w:t>
      </w:r>
    </w:p>
    <w:p w:rsidR="00FE4F0E" w:rsidRPr="00341D37" w:rsidRDefault="005F1335" w:rsidP="005F1335">
      <w:pPr>
        <w:jc w:val="both"/>
        <w:rPr>
          <w:rFonts w:ascii="Book Antiqua" w:hAnsi="Book Antiqua"/>
        </w:rPr>
      </w:pPr>
      <w:r w:rsidRPr="00341D37">
        <w:rPr>
          <w:rFonts w:ascii="Book Antiqua" w:hAnsi="Book Antiqua"/>
        </w:rPr>
        <w:t xml:space="preserve">(h) has executed a guarantee in </w:t>
      </w:r>
      <w:proofErr w:type="spellStart"/>
      <w:r w:rsidRPr="00341D37">
        <w:rPr>
          <w:rFonts w:ascii="Book Antiqua" w:hAnsi="Book Antiqua"/>
        </w:rPr>
        <w:t>favour</w:t>
      </w:r>
      <w:proofErr w:type="spellEnd"/>
      <w:r w:rsidRPr="00341D37">
        <w:rPr>
          <w:rFonts w:ascii="Book Antiqua" w:hAnsi="Book Antiqua"/>
        </w:rPr>
        <w:t xml:space="preserve"> of a creditor in respect of a corporate debtor against which an application for insolvency resolution made by such creditor has been admitted under this Code and such guarantee has been invoked by the creditor and </w:t>
      </w:r>
      <w:r w:rsidR="00FE4F0E" w:rsidRPr="00341D37">
        <w:rPr>
          <w:rFonts w:ascii="Book Antiqua" w:hAnsi="Book Antiqua"/>
        </w:rPr>
        <w:t>remains unpaid in full or part;</w:t>
      </w:r>
    </w:p>
    <w:p w:rsidR="00FE4F0E" w:rsidRPr="00341D37" w:rsidRDefault="005F1335" w:rsidP="005F1335">
      <w:pPr>
        <w:jc w:val="both"/>
        <w:rPr>
          <w:rFonts w:ascii="Book Antiqua" w:hAnsi="Book Antiqua"/>
        </w:rPr>
      </w:pPr>
      <w:r w:rsidRPr="00341D37">
        <w:rPr>
          <w:rFonts w:ascii="Book Antiqua" w:hAnsi="Book Antiqua"/>
        </w:rPr>
        <w:lastRenderedPageBreak/>
        <w:t>(</w:t>
      </w:r>
      <w:proofErr w:type="spellStart"/>
      <w:r w:rsidRPr="00341D37">
        <w:rPr>
          <w:rFonts w:ascii="Book Antiqua" w:hAnsi="Book Antiqua"/>
        </w:rPr>
        <w:t>i</w:t>
      </w:r>
      <w:proofErr w:type="spellEnd"/>
      <w:r w:rsidRPr="00341D37">
        <w:rPr>
          <w:rFonts w:ascii="Book Antiqua" w:hAnsi="Book Antiqua"/>
        </w:rPr>
        <w:t xml:space="preserve">) </w:t>
      </w:r>
      <w:proofErr w:type="gramStart"/>
      <w:r w:rsidRPr="00341D37">
        <w:rPr>
          <w:rFonts w:ascii="Book Antiqua" w:hAnsi="Book Antiqua"/>
        </w:rPr>
        <w:t>is</w:t>
      </w:r>
      <w:proofErr w:type="gramEnd"/>
      <w:r w:rsidRPr="00341D37">
        <w:rPr>
          <w:rFonts w:ascii="Book Antiqua" w:hAnsi="Book Antiqua"/>
        </w:rPr>
        <w:t xml:space="preserve"> subject to any disability, corresponding to clauses (a) to (h), under any law in a</w:t>
      </w:r>
      <w:r w:rsidR="00FE4F0E" w:rsidRPr="00341D37">
        <w:rPr>
          <w:rFonts w:ascii="Book Antiqua" w:hAnsi="Book Antiqua"/>
        </w:rPr>
        <w:t xml:space="preserve"> jurisdiction outside India; or</w:t>
      </w:r>
    </w:p>
    <w:p w:rsidR="005F1335" w:rsidRPr="00341D37" w:rsidRDefault="005F1335" w:rsidP="005F1335">
      <w:pPr>
        <w:jc w:val="both"/>
        <w:rPr>
          <w:rFonts w:ascii="Book Antiqua" w:hAnsi="Book Antiqua"/>
        </w:rPr>
      </w:pPr>
      <w:r w:rsidRPr="00341D37">
        <w:rPr>
          <w:rFonts w:ascii="Book Antiqua" w:hAnsi="Book Antiqua"/>
        </w:rPr>
        <w:t xml:space="preserve">(j) </w:t>
      </w:r>
      <w:proofErr w:type="gramStart"/>
      <w:r w:rsidRPr="00341D37">
        <w:rPr>
          <w:rFonts w:ascii="Book Antiqua" w:hAnsi="Book Antiqua"/>
        </w:rPr>
        <w:t>has</w:t>
      </w:r>
      <w:proofErr w:type="gramEnd"/>
      <w:r w:rsidRPr="00341D37">
        <w:rPr>
          <w:rFonts w:ascii="Book Antiqua" w:hAnsi="Book Antiqua"/>
        </w:rPr>
        <w:t xml:space="preserve"> a connected person not eligible under clauses (a) to (</w:t>
      </w:r>
      <w:proofErr w:type="spellStart"/>
      <w:r w:rsidRPr="00341D37">
        <w:rPr>
          <w:rFonts w:ascii="Book Antiqua" w:hAnsi="Book Antiqua"/>
        </w:rPr>
        <w:t>i</w:t>
      </w:r>
      <w:proofErr w:type="spellEnd"/>
      <w:r w:rsidRPr="00341D37">
        <w:rPr>
          <w:rFonts w:ascii="Book Antiqua" w:hAnsi="Book Antiqua"/>
        </w:rPr>
        <w:t>).</w:t>
      </w:r>
    </w:p>
    <w:p w:rsidR="00FE4F0E" w:rsidRPr="00341D37" w:rsidRDefault="00FE4F0E" w:rsidP="005F1335">
      <w:pPr>
        <w:jc w:val="both"/>
        <w:rPr>
          <w:rFonts w:ascii="Book Antiqua" w:hAnsi="Book Antiqua"/>
        </w:rPr>
      </w:pPr>
      <w:r w:rsidRPr="00341D37">
        <w:rPr>
          <w:rFonts w:ascii="Book Antiqua" w:hAnsi="Book Antiqua"/>
        </w:rPr>
        <w:t>Explanation I - For the purposes of this clause, the expression “connected person” means-</w:t>
      </w:r>
    </w:p>
    <w:p w:rsidR="00FE4F0E" w:rsidRPr="00341D37" w:rsidRDefault="00FE4F0E" w:rsidP="00FE4F0E">
      <w:pPr>
        <w:pStyle w:val="ListParagraph"/>
        <w:numPr>
          <w:ilvl w:val="0"/>
          <w:numId w:val="3"/>
        </w:numPr>
        <w:jc w:val="both"/>
        <w:rPr>
          <w:rFonts w:ascii="Book Antiqua" w:hAnsi="Book Antiqua"/>
        </w:rPr>
      </w:pPr>
      <w:r w:rsidRPr="00341D37">
        <w:rPr>
          <w:rFonts w:ascii="Book Antiqua" w:hAnsi="Book Antiqua"/>
        </w:rPr>
        <w:t>any person who is the promoter or in the management or control of the resolution applicant; or</w:t>
      </w:r>
    </w:p>
    <w:p w:rsidR="00FE4F0E" w:rsidRPr="00341D37" w:rsidRDefault="00FE4F0E" w:rsidP="00FE4F0E">
      <w:pPr>
        <w:pStyle w:val="ListParagraph"/>
        <w:numPr>
          <w:ilvl w:val="0"/>
          <w:numId w:val="3"/>
        </w:numPr>
        <w:jc w:val="both"/>
        <w:rPr>
          <w:rFonts w:ascii="Book Antiqua" w:hAnsi="Book Antiqua"/>
        </w:rPr>
      </w:pPr>
      <w:r w:rsidRPr="00341D37">
        <w:rPr>
          <w:rFonts w:ascii="Book Antiqua" w:hAnsi="Book Antiqua"/>
        </w:rPr>
        <w:t>any person who shall be the promoter or in the management or control of the business of the corporate debtor during the implementation of the resolution plan; or</w:t>
      </w:r>
    </w:p>
    <w:p w:rsidR="00FE4F0E" w:rsidRPr="00341D37" w:rsidRDefault="00FE4F0E" w:rsidP="00FE4F0E">
      <w:pPr>
        <w:pStyle w:val="ListParagraph"/>
        <w:numPr>
          <w:ilvl w:val="0"/>
          <w:numId w:val="3"/>
        </w:numPr>
        <w:jc w:val="both"/>
        <w:rPr>
          <w:rFonts w:ascii="Book Antiqua" w:hAnsi="Book Antiqua"/>
        </w:rPr>
      </w:pPr>
      <w:r w:rsidRPr="00341D37">
        <w:rPr>
          <w:rFonts w:ascii="Book Antiqua" w:hAnsi="Book Antiqua"/>
        </w:rPr>
        <w:t>the holding company, subsidiary company, associate company or related party of a person referred to in clauses (</w:t>
      </w:r>
      <w:proofErr w:type="spellStart"/>
      <w:r w:rsidRPr="00341D37">
        <w:rPr>
          <w:rFonts w:ascii="Book Antiqua" w:hAnsi="Book Antiqua"/>
        </w:rPr>
        <w:t>i</w:t>
      </w:r>
      <w:proofErr w:type="spellEnd"/>
      <w:r w:rsidRPr="00341D37">
        <w:rPr>
          <w:rFonts w:ascii="Book Antiqua" w:hAnsi="Book Antiqua"/>
        </w:rPr>
        <w:t>) and (ii)</w:t>
      </w:r>
    </w:p>
    <w:p w:rsidR="00FE4F0E" w:rsidRPr="00341D37" w:rsidRDefault="00FE4F0E"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i/>
        </w:rPr>
      </w:pPr>
      <w:r w:rsidRPr="00341D37">
        <w:rPr>
          <w:rFonts w:ascii="Book Antiqua" w:hAnsi="Book Antiqua"/>
          <w:b/>
          <w:i/>
        </w:rPr>
        <w:t>Provided that</w:t>
      </w:r>
      <w:r w:rsidRPr="00341D37">
        <w:rPr>
          <w:rFonts w:ascii="Book Antiqua" w:hAnsi="Book Antiqua"/>
          <w:i/>
        </w:rPr>
        <w:t xml:space="preserve"> nothing in clause (iii) of Explanation I shall apply to a resolution applicant where such applicant is a financial entity and is not a related party of the corporate debtor:</w:t>
      </w:r>
    </w:p>
    <w:p w:rsidR="00FE4F0E" w:rsidRPr="00341D37" w:rsidRDefault="00FE4F0E" w:rsidP="00FE4F0E">
      <w:pPr>
        <w:pStyle w:val="ListParagraph"/>
        <w:ind w:left="1080"/>
        <w:jc w:val="both"/>
        <w:rPr>
          <w:rFonts w:ascii="Book Antiqua" w:hAnsi="Book Antiqua"/>
          <w:i/>
        </w:rPr>
      </w:pPr>
    </w:p>
    <w:p w:rsidR="00FE4F0E" w:rsidRPr="00341D37" w:rsidRDefault="00FE4F0E" w:rsidP="00FE4F0E">
      <w:pPr>
        <w:pStyle w:val="ListParagraph"/>
        <w:ind w:left="1080"/>
        <w:jc w:val="both"/>
        <w:rPr>
          <w:rFonts w:ascii="Book Antiqua" w:hAnsi="Book Antiqua"/>
          <w:i/>
        </w:rPr>
      </w:pPr>
      <w:r w:rsidRPr="00341D37">
        <w:rPr>
          <w:rFonts w:ascii="Book Antiqua" w:hAnsi="Book Antiqua"/>
          <w:b/>
          <w:i/>
        </w:rPr>
        <w:t>Provided further that</w:t>
      </w:r>
      <w:r w:rsidRPr="00341D37">
        <w:rPr>
          <w:rFonts w:ascii="Book Antiqua" w:hAnsi="Book Antiqua"/>
          <w:i/>
        </w:rPr>
        <w:t xml:space="preserve">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rsidR="005647D2" w:rsidRPr="00341D37" w:rsidRDefault="005647D2"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rPr>
      </w:pPr>
      <w:r w:rsidRPr="00341D37">
        <w:rPr>
          <w:rFonts w:ascii="Book Antiqua" w:hAnsi="Book Antiqua"/>
        </w:rPr>
        <w:t>Explanation II—For the purposes of this section, "financial entity" shall mean the following entities which meet such criteria or conditions as the Central Government may, in consultation with the financial sector regulator, notify in this behalf, namely:—</w:t>
      </w:r>
    </w:p>
    <w:p w:rsidR="00FE4F0E" w:rsidRPr="00341D37" w:rsidRDefault="00FE4F0E" w:rsidP="00FE4F0E">
      <w:pPr>
        <w:pStyle w:val="ListParagraph"/>
        <w:ind w:left="1080"/>
        <w:jc w:val="both"/>
        <w:rPr>
          <w:rFonts w:ascii="Book Antiqua" w:hAnsi="Book Antiqua"/>
        </w:rPr>
      </w:pPr>
      <w:r w:rsidRPr="00341D37">
        <w:rPr>
          <w:rFonts w:ascii="Book Antiqua" w:hAnsi="Book Antiqua"/>
        </w:rPr>
        <w:t xml:space="preserve">(a) </w:t>
      </w:r>
      <w:proofErr w:type="gramStart"/>
      <w:r w:rsidRPr="00341D37">
        <w:rPr>
          <w:rFonts w:ascii="Book Antiqua" w:hAnsi="Book Antiqua"/>
        </w:rPr>
        <w:t>a</w:t>
      </w:r>
      <w:proofErr w:type="gramEnd"/>
      <w:r w:rsidRPr="00341D37">
        <w:rPr>
          <w:rFonts w:ascii="Book Antiqua" w:hAnsi="Book Antiqua"/>
        </w:rPr>
        <w:t xml:space="preserve"> scheduled bank;</w:t>
      </w:r>
    </w:p>
    <w:p w:rsidR="00FE4F0E" w:rsidRPr="00341D37" w:rsidRDefault="00FE4F0E"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rPr>
      </w:pPr>
      <w:r w:rsidRPr="00341D37">
        <w:rPr>
          <w:rFonts w:ascii="Book Antiqua" w:hAnsi="Book Antiqua"/>
        </w:rPr>
        <w:t xml:space="preserve">(b) 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sidRPr="00341D37">
        <w:rPr>
          <w:rFonts w:ascii="Book Antiqua" w:hAnsi="Book Antiqua"/>
        </w:rPr>
        <w:t>Organisation</w:t>
      </w:r>
      <w:proofErr w:type="spellEnd"/>
      <w:r w:rsidRPr="00341D37">
        <w:rPr>
          <w:rFonts w:ascii="Book Antiqua" w:hAnsi="Book Antiqua"/>
        </w:rPr>
        <w:t xml:space="preserve"> of Securities Commissions Multilateral Memorandum of Understanding;</w:t>
      </w:r>
    </w:p>
    <w:p w:rsidR="00FE4F0E" w:rsidRPr="00341D37" w:rsidRDefault="00FE4F0E"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rPr>
      </w:pPr>
      <w:r w:rsidRPr="00341D37">
        <w:rPr>
          <w:rFonts w:ascii="Book Antiqua" w:hAnsi="Book Antiqua"/>
        </w:rPr>
        <w:t>(c) 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w:t>
      </w:r>
    </w:p>
    <w:p w:rsidR="00FE4F0E" w:rsidRPr="00341D37" w:rsidRDefault="00FE4F0E"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rPr>
      </w:pPr>
      <w:r w:rsidRPr="00341D37">
        <w:rPr>
          <w:rFonts w:ascii="Book Antiqua" w:hAnsi="Book Antiqua"/>
        </w:rPr>
        <w:t xml:space="preserve">(d) an asset reconstruction company register with the Reserve Bank of India under section 3 of the </w:t>
      </w:r>
      <w:proofErr w:type="spellStart"/>
      <w:r w:rsidRPr="00341D37">
        <w:rPr>
          <w:rFonts w:ascii="Book Antiqua" w:hAnsi="Book Antiqua"/>
        </w:rPr>
        <w:t>Securitisation</w:t>
      </w:r>
      <w:proofErr w:type="spellEnd"/>
      <w:r w:rsidRPr="00341D37">
        <w:rPr>
          <w:rFonts w:ascii="Book Antiqua" w:hAnsi="Book Antiqua"/>
        </w:rPr>
        <w:t xml:space="preserve"> and Reconstruction of Financial Assets and Enforcement of Security Interest Act, 2002 (54 of 2002);</w:t>
      </w:r>
    </w:p>
    <w:p w:rsidR="00FE4F0E" w:rsidRPr="00341D37" w:rsidRDefault="00FE4F0E"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rPr>
      </w:pPr>
      <w:r w:rsidRPr="00341D37">
        <w:rPr>
          <w:rFonts w:ascii="Book Antiqua" w:hAnsi="Book Antiqua"/>
        </w:rPr>
        <w:t xml:space="preserve">(e) </w:t>
      </w:r>
      <w:proofErr w:type="gramStart"/>
      <w:r w:rsidRPr="00341D37">
        <w:rPr>
          <w:rFonts w:ascii="Book Antiqua" w:hAnsi="Book Antiqua"/>
        </w:rPr>
        <w:t>an</w:t>
      </w:r>
      <w:proofErr w:type="gramEnd"/>
      <w:r w:rsidRPr="00341D37">
        <w:rPr>
          <w:rFonts w:ascii="Book Antiqua" w:hAnsi="Book Antiqua"/>
        </w:rPr>
        <w:t xml:space="preserve"> Alternate Investment Fund registered with Securities and Exchange Board of India;</w:t>
      </w:r>
    </w:p>
    <w:p w:rsidR="00FE4F0E" w:rsidRPr="00341D37" w:rsidRDefault="00FE4F0E" w:rsidP="00FE4F0E">
      <w:pPr>
        <w:pStyle w:val="ListParagraph"/>
        <w:ind w:left="1080"/>
        <w:jc w:val="both"/>
        <w:rPr>
          <w:rFonts w:ascii="Book Antiqua" w:hAnsi="Book Antiqua"/>
        </w:rPr>
      </w:pPr>
    </w:p>
    <w:p w:rsidR="00FE4F0E" w:rsidRPr="00341D37" w:rsidRDefault="00FE4F0E" w:rsidP="00FE4F0E">
      <w:pPr>
        <w:pStyle w:val="ListParagraph"/>
        <w:ind w:left="1080"/>
        <w:jc w:val="both"/>
        <w:rPr>
          <w:rFonts w:ascii="Book Antiqua" w:hAnsi="Book Antiqua"/>
        </w:rPr>
      </w:pPr>
      <w:r w:rsidRPr="00341D37">
        <w:rPr>
          <w:rFonts w:ascii="Book Antiqua" w:hAnsi="Book Antiqua"/>
        </w:rPr>
        <w:t xml:space="preserve">(f) </w:t>
      </w:r>
      <w:proofErr w:type="gramStart"/>
      <w:r w:rsidRPr="00341D37">
        <w:rPr>
          <w:rFonts w:ascii="Book Antiqua" w:hAnsi="Book Antiqua"/>
        </w:rPr>
        <w:t>such</w:t>
      </w:r>
      <w:proofErr w:type="gramEnd"/>
      <w:r w:rsidRPr="00341D37">
        <w:rPr>
          <w:rFonts w:ascii="Book Antiqua" w:hAnsi="Book Antiqua"/>
        </w:rPr>
        <w:t xml:space="preserve"> categories of persons as may be notified by the Central Government.</w:t>
      </w:r>
    </w:p>
    <w:sectPr w:rsidR="00FE4F0E" w:rsidRPr="00341D37" w:rsidSect="00914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40B2"/>
    <w:multiLevelType w:val="hybridMultilevel"/>
    <w:tmpl w:val="DECCECB4"/>
    <w:lvl w:ilvl="0" w:tplc="526C78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E50E9F"/>
    <w:multiLevelType w:val="hybridMultilevel"/>
    <w:tmpl w:val="56F0C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00D1DF6"/>
    <w:multiLevelType w:val="hybridMultilevel"/>
    <w:tmpl w:val="F83A819C"/>
    <w:lvl w:ilvl="0" w:tplc="140457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53E"/>
    <w:rsid w:val="000B5089"/>
    <w:rsid w:val="0014669E"/>
    <w:rsid w:val="00266D55"/>
    <w:rsid w:val="00341D37"/>
    <w:rsid w:val="00450617"/>
    <w:rsid w:val="00463449"/>
    <w:rsid w:val="00463DC0"/>
    <w:rsid w:val="004E4DE5"/>
    <w:rsid w:val="005647D2"/>
    <w:rsid w:val="005F1335"/>
    <w:rsid w:val="006E7A6D"/>
    <w:rsid w:val="0080053E"/>
    <w:rsid w:val="009141A5"/>
    <w:rsid w:val="009958B3"/>
    <w:rsid w:val="009F3AC8"/>
    <w:rsid w:val="00A72386"/>
    <w:rsid w:val="00A80F32"/>
    <w:rsid w:val="00AB1CFC"/>
    <w:rsid w:val="00B32A70"/>
    <w:rsid w:val="00C007DC"/>
    <w:rsid w:val="00C3211D"/>
    <w:rsid w:val="00C37C81"/>
    <w:rsid w:val="00CD363A"/>
    <w:rsid w:val="00D02065"/>
    <w:rsid w:val="00D077D2"/>
    <w:rsid w:val="00D85858"/>
    <w:rsid w:val="00FE4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FC"/>
    <w:pPr>
      <w:ind w:left="720"/>
      <w:contextualSpacing/>
    </w:pPr>
  </w:style>
  <w:style w:type="paragraph" w:styleId="BalloonText">
    <w:name w:val="Balloon Text"/>
    <w:basedOn w:val="Normal"/>
    <w:link w:val="BalloonTextChar"/>
    <w:uiPriority w:val="99"/>
    <w:semiHidden/>
    <w:unhideWhenUsed/>
    <w:rsid w:val="00463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400055">
      <w:bodyDiv w:val="1"/>
      <w:marLeft w:val="0"/>
      <w:marRight w:val="0"/>
      <w:marTop w:val="0"/>
      <w:marBottom w:val="0"/>
      <w:divBdr>
        <w:top w:val="none" w:sz="0" w:space="0" w:color="auto"/>
        <w:left w:val="none" w:sz="0" w:space="0" w:color="auto"/>
        <w:bottom w:val="none" w:sz="0" w:space="0" w:color="auto"/>
        <w:right w:val="none" w:sz="0" w:space="0" w:color="auto"/>
      </w:divBdr>
    </w:div>
    <w:div w:id="407728526">
      <w:bodyDiv w:val="1"/>
      <w:marLeft w:val="0"/>
      <w:marRight w:val="0"/>
      <w:marTop w:val="0"/>
      <w:marBottom w:val="0"/>
      <w:divBdr>
        <w:top w:val="none" w:sz="0" w:space="0" w:color="auto"/>
        <w:left w:val="none" w:sz="0" w:space="0" w:color="auto"/>
        <w:bottom w:val="none" w:sz="0" w:space="0" w:color="auto"/>
        <w:right w:val="none" w:sz="0" w:space="0" w:color="auto"/>
      </w:divBdr>
    </w:div>
    <w:div w:id="758600436">
      <w:bodyDiv w:val="1"/>
      <w:marLeft w:val="0"/>
      <w:marRight w:val="0"/>
      <w:marTop w:val="0"/>
      <w:marBottom w:val="0"/>
      <w:divBdr>
        <w:top w:val="none" w:sz="0" w:space="0" w:color="auto"/>
        <w:left w:val="none" w:sz="0" w:space="0" w:color="auto"/>
        <w:bottom w:val="none" w:sz="0" w:space="0" w:color="auto"/>
        <w:right w:val="none" w:sz="0" w:space="0" w:color="auto"/>
      </w:divBdr>
    </w:div>
    <w:div w:id="1153370221">
      <w:bodyDiv w:val="1"/>
      <w:marLeft w:val="0"/>
      <w:marRight w:val="0"/>
      <w:marTop w:val="0"/>
      <w:marBottom w:val="0"/>
      <w:divBdr>
        <w:top w:val="none" w:sz="0" w:space="0" w:color="auto"/>
        <w:left w:val="none" w:sz="0" w:space="0" w:color="auto"/>
        <w:bottom w:val="none" w:sz="0" w:space="0" w:color="auto"/>
        <w:right w:val="none" w:sz="0" w:space="0" w:color="auto"/>
      </w:divBdr>
    </w:div>
    <w:div w:id="1599674216">
      <w:bodyDiv w:val="1"/>
      <w:marLeft w:val="0"/>
      <w:marRight w:val="0"/>
      <w:marTop w:val="0"/>
      <w:marBottom w:val="0"/>
      <w:divBdr>
        <w:top w:val="none" w:sz="0" w:space="0" w:color="auto"/>
        <w:left w:val="none" w:sz="0" w:space="0" w:color="auto"/>
        <w:bottom w:val="none" w:sz="0" w:space="0" w:color="auto"/>
        <w:right w:val="none" w:sz="0" w:space="0" w:color="auto"/>
      </w:divBdr>
    </w:div>
    <w:div w:id="1779175730">
      <w:bodyDiv w:val="1"/>
      <w:marLeft w:val="0"/>
      <w:marRight w:val="0"/>
      <w:marTop w:val="0"/>
      <w:marBottom w:val="0"/>
      <w:divBdr>
        <w:top w:val="none" w:sz="0" w:space="0" w:color="auto"/>
        <w:left w:val="none" w:sz="0" w:space="0" w:color="auto"/>
        <w:bottom w:val="none" w:sz="0" w:space="0" w:color="auto"/>
        <w:right w:val="none" w:sz="0" w:space="0" w:color="auto"/>
      </w:divBdr>
    </w:div>
    <w:div w:id="20046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cp:lastPrinted>2019-02-19T08:48:00Z</cp:lastPrinted>
  <dcterms:created xsi:type="dcterms:W3CDTF">2019-08-17T14:20:00Z</dcterms:created>
  <dcterms:modified xsi:type="dcterms:W3CDTF">2019-08-17T14:21:00Z</dcterms:modified>
</cp:coreProperties>
</file>